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9D" w:rsidRPr="002B4C2D" w:rsidRDefault="00B51919" w:rsidP="002B4C2D">
      <w:pPr>
        <w:jc w:val="center"/>
        <w:rPr>
          <w:rFonts w:ascii="Arial" w:hAnsi="Arial" w:cs="Arial"/>
        </w:rPr>
      </w:pPr>
      <w:r w:rsidRPr="002B4C2D">
        <w:rPr>
          <w:rFonts w:ascii="Arial" w:hAnsi="Arial" w:cs="Arial"/>
        </w:rPr>
        <w:t>Lista de Ilustrações</w:t>
      </w:r>
    </w:p>
    <w:p w:rsidR="00B51919" w:rsidRDefault="00B51919"/>
    <w:p w:rsidR="00B51919" w:rsidRPr="002B4C2D" w:rsidRDefault="00B51919">
      <w:pPr>
        <w:rPr>
          <w:rFonts w:ascii="Arial" w:hAnsi="Arial" w:cs="Arial"/>
        </w:rPr>
      </w:pPr>
      <w:r w:rsidRPr="002B4C2D">
        <w:rPr>
          <w:rFonts w:ascii="Arial" w:hAnsi="Arial" w:cs="Arial"/>
        </w:rPr>
        <w:t>Tabela 1.........................................................................................................................5</w:t>
      </w:r>
    </w:p>
    <w:tbl>
      <w:tblPr>
        <w:tblW w:w="524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885"/>
        <w:gridCol w:w="3357"/>
      </w:tblGrid>
      <w:tr w:rsidR="00520D63" w:rsidTr="00520D63">
        <w:trPr>
          <w:trHeight w:val="264"/>
          <w:jc w:val="center"/>
        </w:trPr>
        <w:tc>
          <w:tcPr>
            <w:tcW w:w="5242" w:type="dxa"/>
            <w:gridSpan w:val="3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Tabela 1: Produção de soja no Tocantins.</w:t>
            </w:r>
          </w:p>
        </w:tc>
      </w:tr>
      <w:tr w:rsidR="00520D63" w:rsidTr="00520D63">
        <w:trPr>
          <w:trHeight w:val="264"/>
          <w:jc w:val="center"/>
        </w:trPr>
        <w:tc>
          <w:tcPr>
            <w:tcW w:w="1000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Safra</w:t>
            </w:r>
          </w:p>
        </w:tc>
        <w:tc>
          <w:tcPr>
            <w:tcW w:w="885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Tempo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Produção (em mil toneladas)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1997/98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80,2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1998/99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93,8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1999/00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136,7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2000/01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138,6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2001/02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262,5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2002/03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377,7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2003/04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606,6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2004/05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921,3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2005/06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700,4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2006/07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646,5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2007/08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910,9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2008/09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856,4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2009/10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1071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2010/11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13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1227,1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2011/12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1382,9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2012/13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1536,4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2013/14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16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2058,2</w:t>
            </w:r>
          </w:p>
        </w:tc>
      </w:tr>
      <w:tr w:rsidR="00520D63" w:rsidTr="00520D63">
        <w:trPr>
          <w:trHeight w:val="252"/>
          <w:jc w:val="center"/>
        </w:trPr>
        <w:tc>
          <w:tcPr>
            <w:tcW w:w="10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2014/15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17</w:t>
            </w:r>
          </w:p>
        </w:tc>
        <w:tc>
          <w:tcPr>
            <w:tcW w:w="33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2475,7</w:t>
            </w:r>
          </w:p>
        </w:tc>
      </w:tr>
      <w:tr w:rsidR="00520D63" w:rsidTr="00520D63">
        <w:trPr>
          <w:trHeight w:val="264"/>
          <w:jc w:val="center"/>
        </w:trPr>
        <w:tc>
          <w:tcPr>
            <w:tcW w:w="1000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2015/16</w:t>
            </w:r>
          </w:p>
        </w:tc>
        <w:tc>
          <w:tcPr>
            <w:tcW w:w="885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18</w:t>
            </w:r>
          </w:p>
        </w:tc>
        <w:tc>
          <w:tcPr>
            <w:tcW w:w="3356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1808,8</w:t>
            </w:r>
          </w:p>
        </w:tc>
      </w:tr>
    </w:tbl>
    <w:p w:rsidR="00B51919" w:rsidRDefault="00B51919" w:rsidP="00B51919">
      <w:pPr>
        <w:pStyle w:val="Standard"/>
        <w:ind w:left="1415" w:firstLine="70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Fonte: CONAB 2015</w:t>
      </w:r>
    </w:p>
    <w:p w:rsidR="00B51919" w:rsidRDefault="00B51919"/>
    <w:p w:rsidR="00B51919" w:rsidRPr="002B4C2D" w:rsidRDefault="00B51919">
      <w:pPr>
        <w:rPr>
          <w:rFonts w:ascii="Arial" w:hAnsi="Arial" w:cs="Arial"/>
        </w:rPr>
      </w:pPr>
      <w:r w:rsidRPr="002B4C2D">
        <w:rPr>
          <w:rFonts w:ascii="Arial" w:hAnsi="Arial" w:cs="Arial"/>
        </w:rPr>
        <w:t>Tabela 2.........................................................................................................................6</w:t>
      </w:r>
    </w:p>
    <w:tbl>
      <w:tblPr>
        <w:tblW w:w="58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"/>
        <w:gridCol w:w="985"/>
        <w:gridCol w:w="4158"/>
      </w:tblGrid>
      <w:tr w:rsidR="00520D63" w:rsidRPr="00520D63" w:rsidTr="00C63614">
        <w:trPr>
          <w:trHeight w:val="327"/>
          <w:jc w:val="center"/>
        </w:trPr>
        <w:tc>
          <w:tcPr>
            <w:tcW w:w="5860" w:type="dxa"/>
            <w:gridSpan w:val="3"/>
            <w:tcBorders>
              <w:bottom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Tabela 2: Exportação de soja no Tocantins.</w:t>
            </w:r>
          </w:p>
        </w:tc>
      </w:tr>
      <w:tr w:rsidR="00520D63" w:rsidRPr="00520D63" w:rsidTr="00C63614">
        <w:trPr>
          <w:trHeight w:val="342"/>
          <w:jc w:val="center"/>
        </w:trPr>
        <w:tc>
          <w:tcPr>
            <w:tcW w:w="717" w:type="dxa"/>
            <w:tcBorders>
              <w:bottom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Ano</w:t>
            </w:r>
          </w:p>
        </w:tc>
        <w:tc>
          <w:tcPr>
            <w:tcW w:w="985" w:type="dxa"/>
            <w:tcBorders>
              <w:bottom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Tempo</w:t>
            </w:r>
          </w:p>
        </w:tc>
        <w:tc>
          <w:tcPr>
            <w:tcW w:w="4158" w:type="dxa"/>
            <w:tcBorders>
              <w:bottom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Exportação (em mil toneladas)</w:t>
            </w:r>
          </w:p>
        </w:tc>
      </w:tr>
      <w:tr w:rsidR="00520D63" w:rsidRPr="00520D63" w:rsidTr="00C63614">
        <w:trPr>
          <w:trHeight w:val="342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1997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9,4</w:t>
            </w:r>
          </w:p>
        </w:tc>
      </w:tr>
      <w:tr w:rsidR="00520D63" w:rsidRPr="00520D63" w:rsidTr="00C63614">
        <w:trPr>
          <w:trHeight w:val="327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1998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22,7</w:t>
            </w:r>
          </w:p>
        </w:tc>
      </w:tr>
      <w:tr w:rsidR="00520D63" w:rsidRPr="00520D63" w:rsidTr="00C63614">
        <w:trPr>
          <w:trHeight w:val="327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1999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20,5</w:t>
            </w:r>
          </w:p>
        </w:tc>
      </w:tr>
      <w:tr w:rsidR="00520D63" w:rsidRPr="00520D63" w:rsidTr="00C63614">
        <w:trPr>
          <w:trHeight w:val="327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20,4</w:t>
            </w:r>
          </w:p>
        </w:tc>
      </w:tr>
      <w:tr w:rsidR="00520D63" w:rsidRPr="00520D63" w:rsidTr="00C63614">
        <w:trPr>
          <w:trHeight w:val="327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2001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6,4</w:t>
            </w:r>
          </w:p>
        </w:tc>
      </w:tr>
      <w:tr w:rsidR="00520D63" w:rsidRPr="00520D63" w:rsidTr="00C63614">
        <w:trPr>
          <w:trHeight w:val="327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2002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83,7</w:t>
            </w:r>
          </w:p>
        </w:tc>
      </w:tr>
      <w:tr w:rsidR="00520D63" w:rsidRPr="00520D63" w:rsidTr="00C63614">
        <w:trPr>
          <w:trHeight w:val="327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2003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185,2</w:t>
            </w:r>
          </w:p>
        </w:tc>
      </w:tr>
      <w:tr w:rsidR="00520D63" w:rsidRPr="00520D63" w:rsidTr="00C63614">
        <w:trPr>
          <w:trHeight w:val="327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2004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362,6</w:t>
            </w:r>
          </w:p>
        </w:tc>
      </w:tr>
      <w:tr w:rsidR="00520D63" w:rsidRPr="00520D63" w:rsidTr="00C63614">
        <w:trPr>
          <w:trHeight w:val="327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2005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590</w:t>
            </w:r>
          </w:p>
        </w:tc>
      </w:tr>
      <w:tr w:rsidR="00520D63" w:rsidRPr="00520D63" w:rsidTr="00C63614">
        <w:trPr>
          <w:trHeight w:val="327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2006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633,9</w:t>
            </w:r>
          </w:p>
        </w:tc>
      </w:tr>
      <w:tr w:rsidR="00520D63" w:rsidRPr="00520D63" w:rsidTr="00C63614">
        <w:trPr>
          <w:trHeight w:val="327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2007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434,5</w:t>
            </w:r>
          </w:p>
        </w:tc>
      </w:tr>
      <w:tr w:rsidR="00520D63" w:rsidRPr="00520D63" w:rsidTr="00C63614">
        <w:trPr>
          <w:trHeight w:val="327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2008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551,8</w:t>
            </w:r>
          </w:p>
        </w:tc>
      </w:tr>
      <w:tr w:rsidR="00520D63" w:rsidRPr="00520D63" w:rsidTr="00C63614">
        <w:trPr>
          <w:trHeight w:val="327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2009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557,8</w:t>
            </w:r>
          </w:p>
        </w:tc>
      </w:tr>
      <w:tr w:rsidR="00520D63" w:rsidRPr="00520D63" w:rsidTr="00C63614">
        <w:trPr>
          <w:trHeight w:val="327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2010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13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677,1</w:t>
            </w:r>
          </w:p>
        </w:tc>
      </w:tr>
      <w:tr w:rsidR="00520D63" w:rsidRPr="00520D63" w:rsidTr="00C63614">
        <w:trPr>
          <w:trHeight w:val="327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2011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712,9</w:t>
            </w:r>
          </w:p>
        </w:tc>
      </w:tr>
      <w:tr w:rsidR="00520D63" w:rsidRPr="00520D63" w:rsidTr="00C63614">
        <w:trPr>
          <w:trHeight w:val="327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2012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796,8</w:t>
            </w:r>
          </w:p>
        </w:tc>
      </w:tr>
      <w:tr w:rsidR="00520D63" w:rsidRPr="00520D63" w:rsidTr="00C63614">
        <w:trPr>
          <w:trHeight w:val="327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2013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16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875,6</w:t>
            </w:r>
          </w:p>
        </w:tc>
      </w:tr>
      <w:tr w:rsidR="00520D63" w:rsidRPr="00520D63" w:rsidTr="00C63614">
        <w:trPr>
          <w:trHeight w:val="327"/>
          <w:jc w:val="center"/>
        </w:trPr>
        <w:tc>
          <w:tcPr>
            <w:tcW w:w="7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2014</w:t>
            </w:r>
          </w:p>
        </w:tc>
        <w:tc>
          <w:tcPr>
            <w:tcW w:w="9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17</w:t>
            </w:r>
          </w:p>
        </w:tc>
        <w:tc>
          <w:tcPr>
            <w:tcW w:w="41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1243,2</w:t>
            </w:r>
          </w:p>
        </w:tc>
      </w:tr>
      <w:tr w:rsidR="00520D63" w:rsidRPr="00520D63" w:rsidTr="00C63614">
        <w:trPr>
          <w:trHeight w:val="342"/>
          <w:jc w:val="center"/>
        </w:trPr>
        <w:tc>
          <w:tcPr>
            <w:tcW w:w="717" w:type="dxa"/>
            <w:tcBorders>
              <w:bottom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2015</w:t>
            </w:r>
          </w:p>
        </w:tc>
        <w:tc>
          <w:tcPr>
            <w:tcW w:w="985" w:type="dxa"/>
            <w:tcBorders>
              <w:bottom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18</w:t>
            </w:r>
          </w:p>
        </w:tc>
        <w:tc>
          <w:tcPr>
            <w:tcW w:w="4158" w:type="dxa"/>
            <w:tcBorders>
              <w:bottom w:val="single" w:sz="1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Pr="00520D63" w:rsidRDefault="00520D63" w:rsidP="00520D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0D63">
              <w:rPr>
                <w:rFonts w:ascii="Arial" w:eastAsia="Times New Roman" w:hAnsi="Arial" w:cs="Arial"/>
                <w:color w:val="000000"/>
                <w:lang w:eastAsia="pt-BR"/>
              </w:rPr>
              <w:t>1570,5</w:t>
            </w:r>
          </w:p>
        </w:tc>
      </w:tr>
    </w:tbl>
    <w:p w:rsidR="00520D63" w:rsidRDefault="00520D63" w:rsidP="00520D63">
      <w:pPr>
        <w:pStyle w:val="Standard"/>
        <w:ind w:left="1415" w:firstLine="70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Fonte: MAPA 2015</w:t>
      </w:r>
    </w:p>
    <w:p w:rsidR="00520D63" w:rsidRDefault="00520D63"/>
    <w:p w:rsidR="00520D63" w:rsidRPr="002B4C2D" w:rsidRDefault="00520D63">
      <w:pPr>
        <w:rPr>
          <w:rFonts w:ascii="Arial" w:hAnsi="Arial" w:cs="Arial"/>
        </w:rPr>
      </w:pPr>
      <w:r w:rsidRPr="002B4C2D">
        <w:rPr>
          <w:rFonts w:ascii="Arial" w:hAnsi="Arial" w:cs="Arial"/>
        </w:rPr>
        <w:t>Figura 1........................................................................................................................</w:t>
      </w:r>
      <w:r w:rsidR="0055596B">
        <w:rPr>
          <w:rFonts w:ascii="Arial" w:hAnsi="Arial" w:cs="Arial"/>
        </w:rPr>
        <w:t>7</w:t>
      </w:r>
    </w:p>
    <w:p w:rsidR="00520D63" w:rsidRPr="00DE2482" w:rsidRDefault="00520D63" w:rsidP="00520D63">
      <w:pPr>
        <w:tabs>
          <w:tab w:val="left" w:pos="4965"/>
        </w:tabs>
      </w:pPr>
      <w:r w:rsidRPr="00DE2482">
        <w:rPr>
          <w:rFonts w:ascii="Arial" w:hAnsi="Arial" w:cs="Arial"/>
        </w:rPr>
        <w:t xml:space="preserve">Fig 1: Produção de soja no Tocantins em função do tempo com ajuste do Modelo de </w:t>
      </w:r>
      <w:r w:rsidRPr="00DE2482">
        <w:rPr>
          <w:rFonts w:ascii="Arial" w:hAnsi="Arial" w:cs="Arial"/>
          <w:i/>
        </w:rPr>
        <w:t>Malthus.</w:t>
      </w:r>
    </w:p>
    <w:p w:rsidR="00520D63" w:rsidRDefault="00520D63" w:rsidP="00520D63">
      <w:pPr>
        <w:pStyle w:val="Standard"/>
        <w:jc w:val="both"/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0A13BAA9" wp14:editId="31EC9DF7">
            <wp:extent cx="5504816" cy="3119759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20D63" w:rsidRDefault="00520D63" w:rsidP="00520D63">
      <w:pPr>
        <w:spacing w:line="276" w:lineRule="auto"/>
        <w:ind w:left="708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FONTE: Rosa e Cruz, dados da pesquisa</w:t>
      </w:r>
    </w:p>
    <w:p w:rsidR="00520D63" w:rsidRDefault="00520D63" w:rsidP="00520D63">
      <w:pPr>
        <w:spacing w:line="276" w:lineRule="auto"/>
        <w:rPr>
          <w:rFonts w:ascii="Arial" w:eastAsia="Times New Roman" w:hAnsi="Arial" w:cs="Arial"/>
          <w:color w:val="000000"/>
          <w:lang w:eastAsia="pt-BR"/>
        </w:rPr>
      </w:pPr>
    </w:p>
    <w:p w:rsidR="00520D63" w:rsidRDefault="00520D63" w:rsidP="00520D63">
      <w:pPr>
        <w:spacing w:line="276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lastRenderedPageBreak/>
        <w:t>Tabela 3......................................................................................................................8</w:t>
      </w:r>
    </w:p>
    <w:tbl>
      <w:tblPr>
        <w:tblW w:w="687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3318"/>
        <w:gridCol w:w="2719"/>
      </w:tblGrid>
      <w:tr w:rsidR="00520D63" w:rsidTr="00C63614">
        <w:trPr>
          <w:trHeight w:val="300"/>
          <w:jc w:val="center"/>
        </w:trPr>
        <w:tc>
          <w:tcPr>
            <w:tcW w:w="6879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Tabela 3: Crescimento Relativo da Produção de soja no Tocantins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84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Tempo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Produção (em mil toneladas)</w:t>
            </w:r>
          </w:p>
        </w:tc>
        <w:tc>
          <w:tcPr>
            <w:tcW w:w="2719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Crescimento Relativo</w:t>
            </w:r>
          </w:p>
        </w:tc>
      </w:tr>
      <w:tr w:rsidR="00520D63" w:rsidTr="00C63614">
        <w:trPr>
          <w:trHeight w:val="287"/>
          <w:jc w:val="center"/>
        </w:trPr>
        <w:tc>
          <w:tcPr>
            <w:tcW w:w="84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</w:p>
        </w:tc>
        <w:tc>
          <w:tcPr>
            <w:tcW w:w="33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856,4</w:t>
            </w:r>
          </w:p>
        </w:tc>
        <w:tc>
          <w:tcPr>
            <w:tcW w:w="271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-0,059830936</w:t>
            </w:r>
          </w:p>
        </w:tc>
      </w:tr>
      <w:tr w:rsidR="00520D63" w:rsidTr="00C63614">
        <w:trPr>
          <w:trHeight w:val="287"/>
          <w:jc w:val="center"/>
        </w:trPr>
        <w:tc>
          <w:tcPr>
            <w:tcW w:w="84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33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1071</w:t>
            </w:r>
          </w:p>
        </w:tc>
        <w:tc>
          <w:tcPr>
            <w:tcW w:w="271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0,250583839</w:t>
            </w:r>
          </w:p>
        </w:tc>
      </w:tr>
      <w:tr w:rsidR="00520D63" w:rsidTr="00C63614">
        <w:trPr>
          <w:trHeight w:val="287"/>
          <w:jc w:val="center"/>
        </w:trPr>
        <w:tc>
          <w:tcPr>
            <w:tcW w:w="84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13</w:t>
            </w:r>
          </w:p>
        </w:tc>
        <w:tc>
          <w:tcPr>
            <w:tcW w:w="33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1227,1</w:t>
            </w:r>
          </w:p>
        </w:tc>
        <w:tc>
          <w:tcPr>
            <w:tcW w:w="271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0,145751634</w:t>
            </w:r>
          </w:p>
        </w:tc>
      </w:tr>
      <w:tr w:rsidR="00520D63" w:rsidTr="00C63614">
        <w:trPr>
          <w:trHeight w:val="287"/>
          <w:jc w:val="center"/>
        </w:trPr>
        <w:tc>
          <w:tcPr>
            <w:tcW w:w="84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</w:p>
        </w:tc>
        <w:tc>
          <w:tcPr>
            <w:tcW w:w="33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1382,9</w:t>
            </w:r>
          </w:p>
        </w:tc>
        <w:tc>
          <w:tcPr>
            <w:tcW w:w="271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0,126966017</w:t>
            </w:r>
          </w:p>
        </w:tc>
      </w:tr>
      <w:tr w:rsidR="00520D63" w:rsidTr="00C63614">
        <w:trPr>
          <w:trHeight w:val="287"/>
          <w:jc w:val="center"/>
        </w:trPr>
        <w:tc>
          <w:tcPr>
            <w:tcW w:w="84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33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1536,4</w:t>
            </w:r>
          </w:p>
        </w:tc>
        <w:tc>
          <w:tcPr>
            <w:tcW w:w="271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0,110998626</w:t>
            </w:r>
          </w:p>
        </w:tc>
      </w:tr>
      <w:tr w:rsidR="00520D63" w:rsidTr="00C63614">
        <w:trPr>
          <w:trHeight w:val="287"/>
          <w:jc w:val="center"/>
        </w:trPr>
        <w:tc>
          <w:tcPr>
            <w:tcW w:w="84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16</w:t>
            </w:r>
          </w:p>
        </w:tc>
        <w:tc>
          <w:tcPr>
            <w:tcW w:w="33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2058,2</w:t>
            </w:r>
          </w:p>
        </w:tc>
        <w:tc>
          <w:tcPr>
            <w:tcW w:w="271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0,339625098</w:t>
            </w:r>
          </w:p>
        </w:tc>
      </w:tr>
      <w:tr w:rsidR="00520D63" w:rsidTr="00C63614">
        <w:trPr>
          <w:trHeight w:val="287"/>
          <w:jc w:val="center"/>
        </w:trPr>
        <w:tc>
          <w:tcPr>
            <w:tcW w:w="84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17</w:t>
            </w:r>
          </w:p>
        </w:tc>
        <w:tc>
          <w:tcPr>
            <w:tcW w:w="33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2475,7</w:t>
            </w:r>
          </w:p>
        </w:tc>
        <w:tc>
          <w:tcPr>
            <w:tcW w:w="271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0,202847148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842" w:type="dxa"/>
            <w:tcBorders>
              <w:bottom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18</w:t>
            </w:r>
          </w:p>
        </w:tc>
        <w:tc>
          <w:tcPr>
            <w:tcW w:w="3318" w:type="dxa"/>
            <w:tcBorders>
              <w:bottom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2314,8</w:t>
            </w:r>
          </w:p>
        </w:tc>
        <w:tc>
          <w:tcPr>
            <w:tcW w:w="2719" w:type="dxa"/>
            <w:tcBorders>
              <w:bottom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-0,06499172</w:t>
            </w:r>
          </w:p>
        </w:tc>
      </w:tr>
    </w:tbl>
    <w:p w:rsidR="00520D63" w:rsidRDefault="00520D63" w:rsidP="00520D63">
      <w:pPr>
        <w:spacing w:line="276" w:lineRule="auto"/>
        <w:ind w:left="708" w:firstLine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FONTE: Rosa e Cruz, dados da pesquisa</w:t>
      </w:r>
    </w:p>
    <w:p w:rsidR="00520D63" w:rsidRDefault="00520D63" w:rsidP="00520D63">
      <w:pPr>
        <w:spacing w:line="276" w:lineRule="auto"/>
        <w:ind w:left="708" w:firstLine="1"/>
        <w:rPr>
          <w:rFonts w:ascii="Arial" w:eastAsia="Times New Roman" w:hAnsi="Arial" w:cs="Arial"/>
          <w:color w:val="000000"/>
          <w:lang w:eastAsia="pt-BR"/>
        </w:rPr>
      </w:pPr>
    </w:p>
    <w:p w:rsidR="00520D63" w:rsidRDefault="00520D63" w:rsidP="00520D63">
      <w:pPr>
        <w:spacing w:line="276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Figura 2...................................................................................................................</w:t>
      </w:r>
      <w:r w:rsidR="0055596B">
        <w:rPr>
          <w:rFonts w:ascii="Arial" w:eastAsia="Times New Roman" w:hAnsi="Arial" w:cs="Arial"/>
          <w:color w:val="000000"/>
          <w:lang w:eastAsia="pt-BR"/>
        </w:rPr>
        <w:t>8</w:t>
      </w:r>
    </w:p>
    <w:p w:rsidR="00520D63" w:rsidRDefault="00520D63" w:rsidP="00520D63">
      <w:pPr>
        <w:pStyle w:val="Standard"/>
        <w:ind w:firstLine="709"/>
        <w:jc w:val="both"/>
      </w:pPr>
      <w:proofErr w:type="spellStart"/>
      <w:r>
        <w:rPr>
          <w:rFonts w:ascii="Arial" w:hAnsi="Arial" w:cs="Arial"/>
          <w:sz w:val="22"/>
          <w:szCs w:val="22"/>
        </w:rPr>
        <w:t>Fig</w:t>
      </w:r>
      <w:proofErr w:type="spellEnd"/>
      <w:r>
        <w:rPr>
          <w:rFonts w:ascii="Arial" w:hAnsi="Arial" w:cs="Arial"/>
          <w:sz w:val="22"/>
          <w:szCs w:val="22"/>
        </w:rPr>
        <w:t xml:space="preserve"> 2: Reta de ajuste para o modelo </w:t>
      </w:r>
      <w:proofErr w:type="spellStart"/>
      <w:r>
        <w:rPr>
          <w:rFonts w:ascii="Arial" w:hAnsi="Arial" w:cs="Arial"/>
          <w:i/>
          <w:sz w:val="22"/>
          <w:szCs w:val="22"/>
        </w:rPr>
        <w:t>Verhulst</w:t>
      </w:r>
      <w:proofErr w:type="spellEnd"/>
    </w:p>
    <w:p w:rsidR="00520D63" w:rsidRDefault="00520D63" w:rsidP="00520D63">
      <w:pPr>
        <w:pStyle w:val="Standard"/>
        <w:jc w:val="center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3F9025A4" wp14:editId="1800DD85">
            <wp:extent cx="4543425" cy="2527931"/>
            <wp:effectExtent l="0" t="0" r="0" b="0"/>
            <wp:docPr id="2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20D63" w:rsidRDefault="00520D63" w:rsidP="00520D63">
      <w:pPr>
        <w:pStyle w:val="Standard"/>
        <w:jc w:val="center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FONTE: Rosa e Cruz, dados da pesquisa</w:t>
      </w:r>
    </w:p>
    <w:p w:rsidR="00520D63" w:rsidRDefault="00520D63" w:rsidP="00520D63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</w:p>
    <w:p w:rsidR="00520D63" w:rsidRDefault="00520D63" w:rsidP="00520D63">
      <w:pPr>
        <w:spacing w:line="276" w:lineRule="auto"/>
        <w:rPr>
          <w:rFonts w:ascii="Arial" w:eastAsia="Times New Roman" w:hAnsi="Arial" w:cs="Arial"/>
          <w:color w:val="000000"/>
          <w:lang w:eastAsia="pt-BR"/>
        </w:rPr>
      </w:pPr>
    </w:p>
    <w:p w:rsidR="00520D63" w:rsidRDefault="00520D63" w:rsidP="00520D63">
      <w:pPr>
        <w:spacing w:line="276" w:lineRule="auto"/>
        <w:rPr>
          <w:rFonts w:ascii="Arial" w:eastAsia="Times New Roman" w:hAnsi="Arial" w:cs="Arial"/>
          <w:color w:val="000000"/>
          <w:lang w:eastAsia="pt-BR"/>
        </w:rPr>
      </w:pPr>
    </w:p>
    <w:p w:rsidR="00520D63" w:rsidRDefault="00520D63" w:rsidP="00520D63">
      <w:pPr>
        <w:spacing w:line="276" w:lineRule="auto"/>
        <w:rPr>
          <w:rFonts w:ascii="Arial" w:eastAsia="Times New Roman" w:hAnsi="Arial" w:cs="Arial"/>
          <w:color w:val="000000"/>
          <w:lang w:eastAsia="pt-BR"/>
        </w:rPr>
      </w:pPr>
    </w:p>
    <w:p w:rsidR="00520D63" w:rsidRDefault="00520D63" w:rsidP="00520D63">
      <w:pPr>
        <w:spacing w:line="276" w:lineRule="auto"/>
        <w:rPr>
          <w:rFonts w:ascii="Arial" w:eastAsia="Times New Roman" w:hAnsi="Arial" w:cs="Arial"/>
          <w:color w:val="000000"/>
          <w:lang w:eastAsia="pt-BR"/>
        </w:rPr>
      </w:pPr>
    </w:p>
    <w:p w:rsidR="00520D63" w:rsidRDefault="00520D63" w:rsidP="00520D63">
      <w:pPr>
        <w:spacing w:line="276" w:lineRule="auto"/>
        <w:rPr>
          <w:rFonts w:ascii="Arial" w:eastAsia="Times New Roman" w:hAnsi="Arial" w:cs="Arial"/>
          <w:color w:val="000000"/>
          <w:lang w:eastAsia="pt-BR"/>
        </w:rPr>
      </w:pPr>
    </w:p>
    <w:p w:rsidR="00520D63" w:rsidRDefault="00520D63" w:rsidP="00520D63">
      <w:pPr>
        <w:spacing w:line="276" w:lineRule="auto"/>
        <w:rPr>
          <w:rFonts w:ascii="Arial" w:eastAsia="Times New Roman" w:hAnsi="Arial" w:cs="Arial"/>
          <w:color w:val="000000"/>
          <w:lang w:eastAsia="pt-BR"/>
        </w:rPr>
      </w:pPr>
    </w:p>
    <w:p w:rsidR="00520D63" w:rsidRPr="002B4C2D" w:rsidRDefault="00520D63">
      <w:pPr>
        <w:rPr>
          <w:rFonts w:ascii="Arial" w:hAnsi="Arial" w:cs="Arial"/>
        </w:rPr>
      </w:pPr>
      <w:r w:rsidRPr="002B4C2D">
        <w:rPr>
          <w:rFonts w:ascii="Arial" w:hAnsi="Arial" w:cs="Arial"/>
        </w:rPr>
        <w:lastRenderedPageBreak/>
        <w:t>Figura 3........................................................................................................................9</w:t>
      </w:r>
    </w:p>
    <w:p w:rsidR="00520D63" w:rsidRDefault="00520D63" w:rsidP="00520D63">
      <w:pPr>
        <w:pStyle w:val="Standard"/>
        <w:jc w:val="both"/>
      </w:pPr>
      <w:proofErr w:type="spellStart"/>
      <w:r>
        <w:rPr>
          <w:rFonts w:ascii="Arial" w:hAnsi="Arial" w:cs="Arial"/>
          <w:sz w:val="22"/>
          <w:szCs w:val="22"/>
        </w:rPr>
        <w:t>Fig</w:t>
      </w:r>
      <w:proofErr w:type="spellEnd"/>
      <w:r>
        <w:rPr>
          <w:rFonts w:ascii="Arial" w:hAnsi="Arial" w:cs="Arial"/>
          <w:sz w:val="22"/>
          <w:szCs w:val="22"/>
        </w:rPr>
        <w:t xml:space="preserve"> 3: Produção de soja no Tocantins em função do tempo com o ajuste do Modelo de </w:t>
      </w:r>
      <w:proofErr w:type="spellStart"/>
      <w:r>
        <w:rPr>
          <w:rFonts w:ascii="Arial" w:hAnsi="Arial" w:cs="Arial"/>
          <w:i/>
          <w:sz w:val="22"/>
          <w:szCs w:val="22"/>
        </w:rPr>
        <w:t>Verhulst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520D63" w:rsidRDefault="00520D63" w:rsidP="00520D63">
      <w:pPr>
        <w:pStyle w:val="Standard"/>
        <w:jc w:val="center"/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4386F7A9" wp14:editId="2BD7F460">
            <wp:extent cx="5248271" cy="3247391"/>
            <wp:effectExtent l="0" t="0" r="0" b="0"/>
            <wp:docPr id="3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20D63" w:rsidRDefault="00520D63" w:rsidP="00520D63">
      <w:pPr>
        <w:spacing w:line="276" w:lineRule="auto"/>
        <w:ind w:left="708" w:firstLine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FONTE: Rosa e Cruz, dados da pesquisa</w:t>
      </w:r>
    </w:p>
    <w:p w:rsidR="00520D63" w:rsidRDefault="00520D63" w:rsidP="00520D63">
      <w:pPr>
        <w:pStyle w:val="Standard"/>
        <w:jc w:val="both"/>
        <w:rPr>
          <w:rFonts w:ascii="Arial" w:hAnsi="Arial" w:cs="Arial"/>
          <w:sz w:val="30"/>
          <w:szCs w:val="30"/>
        </w:rPr>
      </w:pPr>
    </w:p>
    <w:p w:rsidR="00520D63" w:rsidRPr="002B4C2D" w:rsidRDefault="00520D63">
      <w:pPr>
        <w:rPr>
          <w:rFonts w:ascii="Arial" w:hAnsi="Arial" w:cs="Arial"/>
        </w:rPr>
      </w:pPr>
      <w:r w:rsidRPr="002B4C2D">
        <w:rPr>
          <w:rFonts w:ascii="Arial" w:hAnsi="Arial" w:cs="Arial"/>
        </w:rPr>
        <w:t>Tabela 4.......................................................................................................................</w:t>
      </w:r>
      <w:r w:rsidR="0055596B">
        <w:rPr>
          <w:rFonts w:ascii="Arial" w:hAnsi="Arial" w:cs="Arial"/>
        </w:rPr>
        <w:t>9</w:t>
      </w:r>
    </w:p>
    <w:p w:rsidR="00520D63" w:rsidRDefault="00520D63" w:rsidP="00520D6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520D63" w:rsidRDefault="00520D63" w:rsidP="00520D63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Tabela 4: Erro Relativo entre os valores obtidos pelos modelos e os valores</w:t>
      </w:r>
    </w:p>
    <w:p w:rsidR="00520D63" w:rsidRDefault="00520D63" w:rsidP="00520D63">
      <w:pPr>
        <w:pStyle w:val="Standard"/>
        <w:ind w:firstLine="709"/>
        <w:jc w:val="both"/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apresentado</w:t>
      </w:r>
      <w:proofErr w:type="gramEnd"/>
      <w:r>
        <w:rPr>
          <w:rFonts w:ascii="Arial" w:hAnsi="Arial" w:cs="Arial"/>
          <w:sz w:val="22"/>
          <w:szCs w:val="22"/>
        </w:rPr>
        <w:t xml:space="preserve"> pela CONAB</w:t>
      </w:r>
    </w:p>
    <w:tbl>
      <w:tblPr>
        <w:tblW w:w="6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0"/>
        <w:gridCol w:w="1960"/>
        <w:gridCol w:w="2800"/>
      </w:tblGrid>
      <w:tr w:rsidR="00520D63" w:rsidTr="00C63614">
        <w:trPr>
          <w:trHeight w:val="330"/>
          <w:jc w:val="center"/>
        </w:trPr>
        <w:tc>
          <w:tcPr>
            <w:tcW w:w="202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Malthus</w:t>
            </w:r>
          </w:p>
        </w:tc>
        <w:tc>
          <w:tcPr>
            <w:tcW w:w="280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Verhulst</w:t>
            </w:r>
            <w:proofErr w:type="spellEnd"/>
          </w:p>
        </w:tc>
      </w:tr>
      <w:tr w:rsidR="00520D63" w:rsidTr="00C63614">
        <w:trPr>
          <w:trHeight w:val="390"/>
          <w:jc w:val="center"/>
        </w:trPr>
        <w:tc>
          <w:tcPr>
            <w:tcW w:w="2020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Tempo</w:t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|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</w:t>
            </w:r>
            <w:r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real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</w:t>
            </w:r>
            <w:r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obs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|/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</w:t>
            </w:r>
            <w:r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obs</w:t>
            </w:r>
            <w:proofErr w:type="spellEnd"/>
          </w:p>
        </w:tc>
        <w:tc>
          <w:tcPr>
            <w:tcW w:w="2800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|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</w:t>
            </w:r>
            <w:r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real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</w:t>
            </w:r>
            <w:r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obs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|/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</w:t>
            </w:r>
            <w:r>
              <w:rPr>
                <w:rFonts w:ascii="Arial" w:eastAsia="Times New Roman" w:hAnsi="Arial" w:cs="Arial"/>
                <w:color w:val="000000"/>
                <w:vertAlign w:val="subscript"/>
                <w:lang w:eastAsia="pt-BR"/>
              </w:rPr>
              <w:t>obs</w:t>
            </w:r>
            <w:proofErr w:type="spellEnd"/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0,3166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0,3166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0,3349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0,3523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0,1933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0,2337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0,3194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0,3678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0,0727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0,023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0,2845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0,1507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0,7167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0,5187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1,1698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0,9044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0,3727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0,202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0,0544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0,0729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0,2364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0,0995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11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0,0327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0,1225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0,0067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0,0597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13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0,0401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0,0673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0,0998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0,08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0,1677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0,0951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16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0,0719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0,0864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17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0,0712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0,1844</w:t>
            </w:r>
          </w:p>
        </w:tc>
      </w:tr>
      <w:tr w:rsidR="00520D63" w:rsidTr="00C63614">
        <w:trPr>
          <w:trHeight w:val="300"/>
          <w:jc w:val="center"/>
        </w:trPr>
        <w:tc>
          <w:tcPr>
            <w:tcW w:w="20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18</w:t>
            </w:r>
          </w:p>
        </w:tc>
        <w:tc>
          <w:tcPr>
            <w:tcW w:w="1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0,2773</w:t>
            </w:r>
          </w:p>
        </w:tc>
        <w:tc>
          <w:tcPr>
            <w:tcW w:w="28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0,0157</w:t>
            </w:r>
          </w:p>
        </w:tc>
      </w:tr>
      <w:tr w:rsidR="00520D63" w:rsidTr="00C63614">
        <w:trPr>
          <w:trHeight w:val="315"/>
          <w:jc w:val="center"/>
        </w:trPr>
        <w:tc>
          <w:tcPr>
            <w:tcW w:w="2020" w:type="dxa"/>
            <w:tcBorders>
              <w:bottom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Média</w:t>
            </w:r>
          </w:p>
        </w:tc>
        <w:tc>
          <w:tcPr>
            <w:tcW w:w="1960" w:type="dxa"/>
            <w:tcBorders>
              <w:bottom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0,2547</w:t>
            </w:r>
          </w:p>
        </w:tc>
        <w:tc>
          <w:tcPr>
            <w:tcW w:w="2800" w:type="dxa"/>
            <w:tcBorders>
              <w:bottom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0,2080</w:t>
            </w:r>
          </w:p>
        </w:tc>
      </w:tr>
    </w:tbl>
    <w:p w:rsidR="00520D63" w:rsidRDefault="00520D63" w:rsidP="00520D63">
      <w:pPr>
        <w:spacing w:line="276" w:lineRule="auto"/>
        <w:ind w:left="708" w:firstLine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FONTE: Rosa e Cruz, dados da pesquisa</w:t>
      </w:r>
    </w:p>
    <w:p w:rsidR="00520D63" w:rsidRDefault="00520D63" w:rsidP="00520D63">
      <w:pPr>
        <w:spacing w:line="276" w:lineRule="auto"/>
        <w:ind w:left="708" w:firstLine="1"/>
      </w:pPr>
    </w:p>
    <w:p w:rsidR="00520D63" w:rsidRPr="002B4C2D" w:rsidRDefault="00520D63">
      <w:pPr>
        <w:rPr>
          <w:rFonts w:ascii="Arial" w:hAnsi="Arial" w:cs="Arial"/>
        </w:rPr>
      </w:pPr>
      <w:r w:rsidRPr="002B4C2D">
        <w:rPr>
          <w:rFonts w:ascii="Arial" w:hAnsi="Arial" w:cs="Arial"/>
        </w:rPr>
        <w:t>Figura 4.......................................................................................................................1</w:t>
      </w:r>
      <w:r w:rsidR="0055596B">
        <w:rPr>
          <w:rFonts w:ascii="Arial" w:hAnsi="Arial" w:cs="Arial"/>
        </w:rPr>
        <w:t>0</w:t>
      </w:r>
    </w:p>
    <w:p w:rsidR="00520D63" w:rsidRDefault="00520D63" w:rsidP="00520D63">
      <w:pPr>
        <w:pStyle w:val="Standard"/>
        <w:jc w:val="both"/>
      </w:pPr>
      <w:proofErr w:type="spellStart"/>
      <w:r>
        <w:rPr>
          <w:rFonts w:ascii="Arial" w:hAnsi="Arial" w:cs="Arial"/>
          <w:sz w:val="22"/>
          <w:szCs w:val="22"/>
        </w:rPr>
        <w:t>Fig</w:t>
      </w:r>
      <w:proofErr w:type="spellEnd"/>
      <w:r>
        <w:rPr>
          <w:rFonts w:ascii="Arial" w:hAnsi="Arial" w:cs="Arial"/>
          <w:sz w:val="22"/>
          <w:szCs w:val="22"/>
        </w:rPr>
        <w:t xml:space="preserve"> 4: Exportação de soja no Tocantins em função do tempo com ajuste do Modelo de </w:t>
      </w:r>
      <w:r>
        <w:rPr>
          <w:rFonts w:ascii="Arial" w:hAnsi="Arial" w:cs="Arial"/>
          <w:i/>
          <w:sz w:val="22"/>
          <w:szCs w:val="22"/>
        </w:rPr>
        <w:t>Malthus.</w:t>
      </w:r>
    </w:p>
    <w:p w:rsidR="00520D63" w:rsidRDefault="00520D63" w:rsidP="00520D63">
      <w:pPr>
        <w:pStyle w:val="Standard"/>
        <w:jc w:val="center"/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507F2826" wp14:editId="393418BD">
            <wp:extent cx="5354955" cy="3342644"/>
            <wp:effectExtent l="0" t="0" r="0" b="0"/>
            <wp:docPr id="4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20D63" w:rsidRDefault="00520D63" w:rsidP="00520D63">
      <w:pPr>
        <w:pStyle w:val="Standard"/>
        <w:spacing w:line="276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FONTE: Rosa e Cruz, dados da pesquisa</w:t>
      </w:r>
    </w:p>
    <w:p w:rsidR="00520D63" w:rsidRDefault="00520D63"/>
    <w:p w:rsidR="00520D63" w:rsidRDefault="00520D63"/>
    <w:p w:rsidR="002B4C2D" w:rsidRDefault="002B4C2D"/>
    <w:p w:rsidR="002B4C2D" w:rsidRDefault="002B4C2D"/>
    <w:p w:rsidR="00520D63" w:rsidRDefault="00520D63"/>
    <w:p w:rsidR="00520D63" w:rsidRDefault="00520D63"/>
    <w:p w:rsidR="00520D63" w:rsidRPr="002B4C2D" w:rsidRDefault="00520D63">
      <w:pPr>
        <w:rPr>
          <w:rFonts w:ascii="Arial" w:hAnsi="Arial" w:cs="Arial"/>
        </w:rPr>
      </w:pPr>
      <w:r w:rsidRPr="002B4C2D">
        <w:rPr>
          <w:rFonts w:ascii="Arial" w:hAnsi="Arial" w:cs="Arial"/>
        </w:rPr>
        <w:lastRenderedPageBreak/>
        <w:t>Figura 5.......................................................................................................................1</w:t>
      </w:r>
      <w:r w:rsidR="0055596B">
        <w:rPr>
          <w:rFonts w:ascii="Arial" w:hAnsi="Arial" w:cs="Arial"/>
        </w:rPr>
        <w:t>1</w:t>
      </w:r>
    </w:p>
    <w:p w:rsidR="00520D63" w:rsidRDefault="00520D63" w:rsidP="00520D63">
      <w:pPr>
        <w:pStyle w:val="Standard"/>
        <w:jc w:val="both"/>
      </w:pPr>
      <w:proofErr w:type="spellStart"/>
      <w:r>
        <w:rPr>
          <w:rFonts w:ascii="Arial" w:hAnsi="Arial" w:cs="Arial"/>
          <w:sz w:val="22"/>
          <w:szCs w:val="22"/>
        </w:rPr>
        <w:t>Fig</w:t>
      </w:r>
      <w:proofErr w:type="spellEnd"/>
      <w:r>
        <w:rPr>
          <w:rFonts w:ascii="Arial" w:hAnsi="Arial" w:cs="Arial"/>
          <w:sz w:val="22"/>
          <w:szCs w:val="22"/>
        </w:rPr>
        <w:t xml:space="preserve"> 5: Exportação de soja no Tocantins em função do tempo com o Modelo de </w:t>
      </w:r>
      <w:proofErr w:type="spellStart"/>
      <w:r>
        <w:rPr>
          <w:rFonts w:ascii="Arial" w:hAnsi="Arial" w:cs="Arial"/>
          <w:sz w:val="22"/>
          <w:szCs w:val="22"/>
        </w:rPr>
        <w:t>Verhulst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520D63" w:rsidRDefault="00520D63" w:rsidP="00520D63">
      <w:pPr>
        <w:pStyle w:val="Standard"/>
        <w:jc w:val="both"/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460BE13E" wp14:editId="50CCEC14">
            <wp:extent cx="5076821" cy="2962271"/>
            <wp:effectExtent l="0" t="0" r="0" b="0"/>
            <wp:docPr id="5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20D63" w:rsidRDefault="00520D63" w:rsidP="00520D63">
      <w:pPr>
        <w:pStyle w:val="Standard"/>
        <w:spacing w:line="276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FONTE: Rosa e Cruz, dados da pesquisa</w:t>
      </w:r>
    </w:p>
    <w:p w:rsidR="00520D63" w:rsidRDefault="00520D63" w:rsidP="00520D63">
      <w:pPr>
        <w:pStyle w:val="Standard"/>
        <w:spacing w:line="276" w:lineRule="auto"/>
        <w:ind w:firstLine="709"/>
        <w:rPr>
          <w:rFonts w:ascii="Arial" w:hAnsi="Arial" w:cs="Arial"/>
          <w:shd w:val="clear" w:color="auto" w:fill="FFFFFF"/>
        </w:rPr>
      </w:pPr>
    </w:p>
    <w:p w:rsidR="00520D63" w:rsidRPr="00FD4344" w:rsidRDefault="00520D63">
      <w:pPr>
        <w:rPr>
          <w:rFonts w:ascii="Arial" w:hAnsi="Arial" w:cs="Arial"/>
        </w:rPr>
      </w:pPr>
      <w:bookmarkStart w:id="0" w:name="_GoBack"/>
      <w:r w:rsidRPr="00FD4344">
        <w:rPr>
          <w:rFonts w:ascii="Arial" w:hAnsi="Arial" w:cs="Arial"/>
        </w:rPr>
        <w:t>Tabela 5........................................................................................................................1</w:t>
      </w:r>
      <w:r w:rsidR="0055596B" w:rsidRPr="00FD4344">
        <w:rPr>
          <w:rFonts w:ascii="Arial" w:hAnsi="Arial" w:cs="Arial"/>
        </w:rPr>
        <w:t>2</w:t>
      </w:r>
    </w:p>
    <w:tbl>
      <w:tblPr>
        <w:tblW w:w="86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497"/>
        <w:gridCol w:w="2268"/>
        <w:gridCol w:w="1701"/>
        <w:gridCol w:w="2551"/>
      </w:tblGrid>
      <w:tr w:rsidR="00520D63" w:rsidTr="00C63614">
        <w:trPr>
          <w:trHeight w:val="277"/>
        </w:trPr>
        <w:tc>
          <w:tcPr>
            <w:tcW w:w="8647" w:type="dxa"/>
            <w:gridSpan w:val="5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bookmarkEnd w:id="0"/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Tabela 5: Produção e Exportação Nacional e Tocantinense </w:t>
            </w:r>
          </w:p>
        </w:tc>
      </w:tr>
      <w:tr w:rsidR="00520D63" w:rsidTr="00C63614">
        <w:trPr>
          <w:trHeight w:val="291"/>
        </w:trPr>
        <w:tc>
          <w:tcPr>
            <w:tcW w:w="630" w:type="dxa"/>
            <w:tcBorders>
              <w:bottom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ANO</w:t>
            </w:r>
          </w:p>
        </w:tc>
        <w:tc>
          <w:tcPr>
            <w:tcW w:w="1497" w:type="dxa"/>
            <w:tcBorders>
              <w:bottom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PRODUÇÃO</w:t>
            </w:r>
          </w:p>
        </w:tc>
        <w:tc>
          <w:tcPr>
            <w:tcW w:w="2268" w:type="dxa"/>
            <w:tcBorders>
              <w:bottom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*PRODUÇÃO </w:t>
            </w:r>
          </w:p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TOCANTINENSE</w:t>
            </w:r>
          </w:p>
        </w:tc>
        <w:tc>
          <w:tcPr>
            <w:tcW w:w="1701" w:type="dxa"/>
            <w:tcBorders>
              <w:bottom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EXPORTAÇÃO</w:t>
            </w:r>
          </w:p>
        </w:tc>
        <w:tc>
          <w:tcPr>
            <w:tcW w:w="2551" w:type="dxa"/>
            <w:tcBorders>
              <w:bottom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**EXPORTAÇÃO</w:t>
            </w:r>
          </w:p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TOCANTINENSE</w:t>
            </w:r>
          </w:p>
        </w:tc>
      </w:tr>
      <w:tr w:rsidR="00520D63" w:rsidTr="00C63614">
        <w:trPr>
          <w:trHeight w:val="291"/>
        </w:trPr>
        <w:tc>
          <w:tcPr>
            <w:tcW w:w="6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2014</w:t>
            </w:r>
          </w:p>
        </w:tc>
        <w:tc>
          <w:tcPr>
            <w:tcW w:w="14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94281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2668,2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46770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1323,59</w:t>
            </w:r>
          </w:p>
        </w:tc>
      </w:tr>
      <w:tr w:rsidR="00520D63" w:rsidTr="00C63614">
        <w:trPr>
          <w:trHeight w:val="277"/>
        </w:trPr>
        <w:tc>
          <w:tcPr>
            <w:tcW w:w="6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2015</w:t>
            </w:r>
          </w:p>
        </w:tc>
        <w:tc>
          <w:tcPr>
            <w:tcW w:w="14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95871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2713,1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48740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1379,34</w:t>
            </w:r>
          </w:p>
        </w:tc>
      </w:tr>
      <w:tr w:rsidR="00520D63" w:rsidTr="00C63614">
        <w:trPr>
          <w:trHeight w:val="277"/>
        </w:trPr>
        <w:tc>
          <w:tcPr>
            <w:tcW w:w="6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2016</w:t>
            </w:r>
          </w:p>
        </w:tc>
        <w:tc>
          <w:tcPr>
            <w:tcW w:w="14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100041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2831,2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50710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1435,09</w:t>
            </w:r>
          </w:p>
        </w:tc>
      </w:tr>
      <w:tr w:rsidR="00520D63" w:rsidTr="00C63614">
        <w:trPr>
          <w:trHeight w:val="277"/>
        </w:trPr>
        <w:tc>
          <w:tcPr>
            <w:tcW w:w="6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4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103027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2915,7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52679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1490,82</w:t>
            </w:r>
          </w:p>
        </w:tc>
      </w:tr>
      <w:tr w:rsidR="00520D63" w:rsidTr="00C63614">
        <w:trPr>
          <w:trHeight w:val="277"/>
        </w:trPr>
        <w:tc>
          <w:tcPr>
            <w:tcW w:w="6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2018</w:t>
            </w:r>
          </w:p>
        </w:tc>
        <w:tc>
          <w:tcPr>
            <w:tcW w:w="14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106480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3013,4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54649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1546,57</w:t>
            </w:r>
          </w:p>
        </w:tc>
      </w:tr>
      <w:tr w:rsidR="00520D63" w:rsidTr="00C63614">
        <w:trPr>
          <w:trHeight w:val="277"/>
        </w:trPr>
        <w:tc>
          <w:tcPr>
            <w:tcW w:w="6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2019</w:t>
            </w:r>
          </w:p>
        </w:tc>
        <w:tc>
          <w:tcPr>
            <w:tcW w:w="14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109720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3105,1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56619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1602,32</w:t>
            </w:r>
          </w:p>
        </w:tc>
      </w:tr>
      <w:tr w:rsidR="00520D63" w:rsidTr="00C63614">
        <w:trPr>
          <w:trHeight w:val="277"/>
        </w:trPr>
        <w:tc>
          <w:tcPr>
            <w:tcW w:w="6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2020</w:t>
            </w:r>
          </w:p>
        </w:tc>
        <w:tc>
          <w:tcPr>
            <w:tcW w:w="14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113044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3199,1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58589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1658,07</w:t>
            </w:r>
          </w:p>
        </w:tc>
      </w:tr>
      <w:tr w:rsidR="00520D63" w:rsidTr="00C63614">
        <w:trPr>
          <w:trHeight w:val="277"/>
        </w:trPr>
        <w:tc>
          <w:tcPr>
            <w:tcW w:w="6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2021</w:t>
            </w:r>
          </w:p>
        </w:tc>
        <w:tc>
          <w:tcPr>
            <w:tcW w:w="14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116330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3292,1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60559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1713,82</w:t>
            </w:r>
          </w:p>
        </w:tc>
      </w:tr>
      <w:tr w:rsidR="00520D63" w:rsidTr="00C63614">
        <w:trPr>
          <w:trHeight w:val="277"/>
        </w:trPr>
        <w:tc>
          <w:tcPr>
            <w:tcW w:w="6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2022</w:t>
            </w:r>
          </w:p>
        </w:tc>
        <w:tc>
          <w:tcPr>
            <w:tcW w:w="14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119632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3385,6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62528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1769,54</w:t>
            </w:r>
          </w:p>
        </w:tc>
      </w:tr>
      <w:tr w:rsidR="00520D63" w:rsidTr="00C63614">
        <w:trPr>
          <w:trHeight w:val="277"/>
        </w:trPr>
        <w:tc>
          <w:tcPr>
            <w:tcW w:w="63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2023</w:t>
            </w:r>
          </w:p>
        </w:tc>
        <w:tc>
          <w:tcPr>
            <w:tcW w:w="149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122926</w:t>
            </w:r>
          </w:p>
        </w:tc>
        <w:tc>
          <w:tcPr>
            <w:tcW w:w="22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3478,8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64498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1825,29</w:t>
            </w:r>
          </w:p>
        </w:tc>
      </w:tr>
      <w:tr w:rsidR="00520D63" w:rsidTr="00C63614">
        <w:trPr>
          <w:trHeight w:val="277"/>
        </w:trPr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2024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126223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3572,1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66468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0D63" w:rsidRDefault="00520D63" w:rsidP="00C6361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1881,04</w:t>
            </w:r>
          </w:p>
        </w:tc>
      </w:tr>
    </w:tbl>
    <w:p w:rsidR="00520D63" w:rsidRDefault="00520D63" w:rsidP="00520D63">
      <w:pPr>
        <w:pStyle w:val="Standard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Fonte: MAPA (2015).</w:t>
      </w:r>
    </w:p>
    <w:p w:rsidR="00520D63" w:rsidRDefault="00520D63"/>
    <w:p w:rsidR="00812E12" w:rsidRDefault="00812E12"/>
    <w:p w:rsidR="00812E12" w:rsidRDefault="00812E12"/>
    <w:p w:rsidR="00812E12" w:rsidRPr="00FD4344" w:rsidRDefault="00812E12">
      <w:pPr>
        <w:rPr>
          <w:rFonts w:ascii="Arial" w:hAnsi="Arial" w:cs="Arial"/>
        </w:rPr>
      </w:pPr>
      <w:r w:rsidRPr="00FD4344">
        <w:rPr>
          <w:rFonts w:ascii="Arial" w:hAnsi="Arial" w:cs="Arial"/>
        </w:rPr>
        <w:lastRenderedPageBreak/>
        <w:t>Figura 6..........................................................................................</w:t>
      </w:r>
      <w:r w:rsidR="0055596B" w:rsidRPr="00FD4344">
        <w:rPr>
          <w:rFonts w:ascii="Arial" w:hAnsi="Arial" w:cs="Arial"/>
        </w:rPr>
        <w:t>..............................12</w:t>
      </w:r>
    </w:p>
    <w:p w:rsidR="00812E12" w:rsidRDefault="00812E12" w:rsidP="00812E1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Fig</w:t>
      </w:r>
      <w:proofErr w:type="spellEnd"/>
      <w:r>
        <w:rPr>
          <w:rFonts w:ascii="Arial" w:hAnsi="Arial" w:cs="Arial"/>
          <w:sz w:val="22"/>
          <w:szCs w:val="22"/>
        </w:rPr>
        <w:t xml:space="preserve"> 6: Projeções da Produção de soja no estado do Tocantins até 2025</w:t>
      </w:r>
      <w:r>
        <w:rPr>
          <w:rFonts w:ascii="Arial" w:hAnsi="Arial" w:cs="Arial"/>
          <w:sz w:val="22"/>
          <w:szCs w:val="22"/>
        </w:rPr>
        <w:tab/>
      </w:r>
    </w:p>
    <w:p w:rsidR="00812E12" w:rsidRDefault="00812E12" w:rsidP="00812E12">
      <w:pPr>
        <w:pStyle w:val="Standard"/>
        <w:tabs>
          <w:tab w:val="left" w:pos="6240"/>
        </w:tabs>
        <w:jc w:val="both"/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0CB99929" wp14:editId="4735807A">
            <wp:extent cx="5076191" cy="2918463"/>
            <wp:effectExtent l="0" t="0" r="0" b="0"/>
            <wp:docPr id="6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12E12" w:rsidRDefault="00812E12" w:rsidP="00812E12">
      <w:pPr>
        <w:pStyle w:val="Standard"/>
        <w:spacing w:line="276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FONTE: Rosa e Cruz, dados da pesquisa</w:t>
      </w:r>
    </w:p>
    <w:p w:rsidR="00812E12" w:rsidRDefault="00812E12" w:rsidP="00812E12">
      <w:pPr>
        <w:pStyle w:val="Standard"/>
        <w:spacing w:line="276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812E12" w:rsidRPr="00812E12" w:rsidRDefault="00812E12">
      <w:pPr>
        <w:rPr>
          <w:rFonts w:ascii="Arial" w:hAnsi="Arial" w:cs="Arial"/>
          <w:sz w:val="24"/>
          <w:szCs w:val="24"/>
        </w:rPr>
      </w:pPr>
      <w:r w:rsidRPr="00812E12">
        <w:rPr>
          <w:rFonts w:ascii="Arial" w:hAnsi="Arial" w:cs="Arial"/>
          <w:sz w:val="24"/>
          <w:szCs w:val="24"/>
        </w:rPr>
        <w:t>Figura 7............................................................................................................1</w:t>
      </w:r>
      <w:r w:rsidR="0055596B">
        <w:rPr>
          <w:rFonts w:ascii="Arial" w:hAnsi="Arial" w:cs="Arial"/>
          <w:sz w:val="24"/>
          <w:szCs w:val="24"/>
        </w:rPr>
        <w:t>3</w:t>
      </w:r>
    </w:p>
    <w:p w:rsidR="00812E12" w:rsidRDefault="00812E12" w:rsidP="00812E12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Fig</w:t>
      </w:r>
      <w:proofErr w:type="spellEnd"/>
      <w:r>
        <w:rPr>
          <w:rFonts w:ascii="Arial" w:hAnsi="Arial" w:cs="Arial"/>
          <w:sz w:val="22"/>
          <w:szCs w:val="22"/>
        </w:rPr>
        <w:t xml:space="preserve"> 7: Projeções da Exportação de soja no estado do Tocantins até 2025</w:t>
      </w:r>
    </w:p>
    <w:p w:rsidR="00812E12" w:rsidRDefault="00812E12" w:rsidP="00812E12">
      <w:pPr>
        <w:pStyle w:val="Standard"/>
        <w:jc w:val="both"/>
      </w:pP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2900BC86" wp14:editId="1C4D2BE9">
            <wp:extent cx="5161916" cy="3124203"/>
            <wp:effectExtent l="0" t="0" r="0" b="0"/>
            <wp:docPr id="7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12E12" w:rsidRDefault="00812E12" w:rsidP="00812E12">
      <w:pPr>
        <w:pStyle w:val="Standard"/>
        <w:spacing w:line="276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FONTE: Rosa e Cruz, dados da pesquisa</w:t>
      </w:r>
    </w:p>
    <w:p w:rsidR="00812E12" w:rsidRDefault="00812E12"/>
    <w:sectPr w:rsidR="00812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17"/>
    <w:rsid w:val="001F209D"/>
    <w:rsid w:val="002B4C2D"/>
    <w:rsid w:val="00515C17"/>
    <w:rsid w:val="00520D63"/>
    <w:rsid w:val="0055596B"/>
    <w:rsid w:val="00812E12"/>
    <w:rsid w:val="00B51919"/>
    <w:rsid w:val="00FD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CCB54-B2C7-4BD9-AD73-23E3A861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5191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1200" b="1" i="0" u="none" strike="noStrike" kern="1200" cap="none" baseline="0">
                <a:solidFill>
                  <a:srgbClr val="D9D9D9"/>
                </a:solidFill>
                <a:latin typeface="Times New Roman" pitchFamily="18"/>
                <a:cs typeface="Times New Roman" pitchFamily="18"/>
              </a:defRPr>
            </a:pPr>
            <a:r>
              <a:rPr lang="pt-BR" sz="1200" b="1" i="0" u="none" strike="noStrike" kern="1200" cap="none" spc="0" baseline="0">
                <a:solidFill>
                  <a:srgbClr val="D9D9D9"/>
                </a:solidFill>
                <a:uFillTx/>
                <a:latin typeface="Times New Roman" pitchFamily="18"/>
                <a:cs typeface="Times New Roman" pitchFamily="18"/>
              </a:rPr>
              <a:t>Produção de soja no Tocantins (Modelo de Malthus)</a:t>
            </a:r>
          </a:p>
        </c:rich>
      </c:tx>
      <c:layout>
        <c:manualLayout>
          <c:xMode val="edge"/>
          <c:yMode val="edge"/>
          <c:x val="0.20624217162611277"/>
          <c:y val="1.0746997761042133E-2"/>
        </c:manualLayout>
      </c:layout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1.7944472248386186E-2"/>
          <c:y val="7.0387899049765126E-2"/>
          <c:w val="0.91849153877105771"/>
          <c:h val="0.88048356361316826"/>
        </c:manualLayout>
      </c:layout>
      <c:scatterChart>
        <c:scatterStyle val="smoothMarker"/>
        <c:varyColors val="0"/>
        <c:ser>
          <c:idx val="0"/>
          <c:order val="0"/>
          <c:tx>
            <c:v>Modelo de Malthus</c:v>
          </c:tx>
          <c:spPr>
            <a:ln w="22229" cap="rnd">
              <a:solidFill>
                <a:srgbClr val="5B9BD5"/>
              </a:solidFill>
              <a:prstDash val="solid"/>
              <a:round/>
            </a:ln>
          </c:spPr>
          <c:marker>
            <c:symbol val="none"/>
          </c:marker>
          <c:xVal>
            <c:numLit>
              <c:formatCode>General</c:formatCode>
              <c:ptCount val="19"/>
              <c:pt idx="0">
                <c:v>1997</c:v>
              </c:pt>
              <c:pt idx="1">
                <c:v>1998</c:v>
              </c:pt>
              <c:pt idx="2">
                <c:v>1999</c:v>
              </c:pt>
              <c:pt idx="3">
                <c:v>2000</c:v>
              </c:pt>
              <c:pt idx="4">
                <c:v>2001</c:v>
              </c:pt>
              <c:pt idx="5">
                <c:v>2002</c:v>
              </c:pt>
              <c:pt idx="6">
                <c:v>2003</c:v>
              </c:pt>
              <c:pt idx="7">
                <c:v>2004</c:v>
              </c:pt>
              <c:pt idx="8">
                <c:v>2005</c:v>
              </c:pt>
              <c:pt idx="9">
                <c:v>2006</c:v>
              </c:pt>
              <c:pt idx="10">
                <c:v>2007</c:v>
              </c:pt>
              <c:pt idx="11">
                <c:v>2008</c:v>
              </c:pt>
              <c:pt idx="12">
                <c:v>2009</c:v>
              </c:pt>
              <c:pt idx="13">
                <c:v>2010</c:v>
              </c:pt>
              <c:pt idx="14">
                <c:v>2011</c:v>
              </c:pt>
              <c:pt idx="15">
                <c:v>2012</c:v>
              </c:pt>
              <c:pt idx="16">
                <c:v>2013</c:v>
              </c:pt>
              <c:pt idx="17">
                <c:v>2014</c:v>
              </c:pt>
              <c:pt idx="18">
                <c:v>2015</c:v>
              </c:pt>
            </c:numLit>
          </c:xVal>
          <c:yVal>
            <c:numLit>
              <c:formatCode>General</c:formatCode>
              <c:ptCount val="19"/>
              <c:pt idx="0">
                <c:v>117.35960668250509</c:v>
              </c:pt>
              <c:pt idx="1">
                <c:v>141.02602631072921</c:v>
              </c:pt>
              <c:pt idx="2">
                <c:v>169.46495186200434</c:v>
              </c:pt>
              <c:pt idx="3">
                <c:v>203.63879392244186</c:v>
              </c:pt>
              <c:pt idx="4">
                <c:v>244.70404018380646</c:v>
              </c:pt>
              <c:pt idx="5">
                <c:v>294.05039250568331</c:v>
              </c:pt>
              <c:pt idx="6">
                <c:v>353.34779625133604</c:v>
              </c:pt>
              <c:pt idx="7">
                <c:v>424.60295343174056</c:v>
              </c:pt>
              <c:pt idx="8">
                <c:v>510.22723213679927</c:v>
              </c:pt>
              <c:pt idx="9">
                <c:v>613.11827039806576</c:v>
              </c:pt>
              <c:pt idx="10">
                <c:v>736.7580360648559</c:v>
              </c:pt>
              <c:pt idx="11">
                <c:v>885.3306611687234</c:v>
              </c:pt>
              <c:pt idx="12">
                <c:v>1063.8640384459291</c:v>
              </c:pt>
              <c:pt idx="13">
                <c:v>1278.3999718301691</c:v>
              </c:pt>
              <c:pt idx="14">
                <c:v>1536.1986390316738</c:v>
              </c:pt>
              <c:pt idx="15">
                <c:v>1845.9842854848505</c:v>
              </c:pt>
              <c:pt idx="16">
                <c:v>2218.2404642702941</c:v>
              </c:pt>
              <c:pt idx="17">
                <c:v>2665.5648133178393</c:v>
              </c:pt>
              <c:pt idx="18">
                <c:v>3203.0953760170833</c:v>
              </c:pt>
            </c:numLit>
          </c:yVal>
          <c:smooth val="1"/>
        </c:ser>
        <c:ser>
          <c:idx val="1"/>
          <c:order val="1"/>
          <c:tx>
            <c:v>Dados reais</c:v>
          </c:tx>
          <c:spPr>
            <a:ln>
              <a:noFill/>
            </a:ln>
          </c:spPr>
          <c:marker>
            <c:symbol val="circle"/>
            <c:size val="3"/>
          </c:marker>
          <c:xVal>
            <c:numLit>
              <c:formatCode>General</c:formatCode>
              <c:ptCount val="19"/>
              <c:pt idx="0">
                <c:v>1997</c:v>
              </c:pt>
              <c:pt idx="1">
                <c:v>1998</c:v>
              </c:pt>
              <c:pt idx="2">
                <c:v>1999</c:v>
              </c:pt>
              <c:pt idx="3">
                <c:v>2000</c:v>
              </c:pt>
              <c:pt idx="4">
                <c:v>2001</c:v>
              </c:pt>
              <c:pt idx="5">
                <c:v>2002</c:v>
              </c:pt>
              <c:pt idx="6">
                <c:v>2003</c:v>
              </c:pt>
              <c:pt idx="7">
                <c:v>2004</c:v>
              </c:pt>
              <c:pt idx="8">
                <c:v>2005</c:v>
              </c:pt>
              <c:pt idx="9">
                <c:v>2006</c:v>
              </c:pt>
              <c:pt idx="10">
                <c:v>2007</c:v>
              </c:pt>
              <c:pt idx="11">
                <c:v>2008</c:v>
              </c:pt>
              <c:pt idx="12">
                <c:v>2009</c:v>
              </c:pt>
              <c:pt idx="13">
                <c:v>2010</c:v>
              </c:pt>
              <c:pt idx="14">
                <c:v>2011</c:v>
              </c:pt>
              <c:pt idx="15">
                <c:v>2012</c:v>
              </c:pt>
              <c:pt idx="16">
                <c:v>2013</c:v>
              </c:pt>
              <c:pt idx="17">
                <c:v>2014</c:v>
              </c:pt>
              <c:pt idx="18">
                <c:v>2015</c:v>
              </c:pt>
            </c:numLit>
          </c:xVal>
          <c:yVal>
            <c:numLit>
              <c:formatCode>General</c:formatCode>
              <c:ptCount val="19"/>
              <c:pt idx="0">
                <c:v>80.2</c:v>
              </c:pt>
              <c:pt idx="1">
                <c:v>93.8</c:v>
              </c:pt>
              <c:pt idx="2">
                <c:v>136.69999999999999</c:v>
              </c:pt>
              <c:pt idx="3">
                <c:v>138.6</c:v>
              </c:pt>
              <c:pt idx="4">
                <c:v>262.5</c:v>
              </c:pt>
              <c:pt idx="5">
                <c:v>377.7</c:v>
              </c:pt>
              <c:pt idx="6">
                <c:v>606.6</c:v>
              </c:pt>
              <c:pt idx="7">
                <c:v>921.3</c:v>
              </c:pt>
              <c:pt idx="8">
                <c:v>700.4</c:v>
              </c:pt>
              <c:pt idx="9">
                <c:v>646.5</c:v>
              </c:pt>
              <c:pt idx="10">
                <c:v>910.9</c:v>
              </c:pt>
              <c:pt idx="11">
                <c:v>856.4</c:v>
              </c:pt>
              <c:pt idx="12">
                <c:v>1071</c:v>
              </c:pt>
              <c:pt idx="13">
                <c:v>1227.0999999999999</c:v>
              </c:pt>
              <c:pt idx="14">
                <c:v>1382.9</c:v>
              </c:pt>
              <c:pt idx="15">
                <c:v>1536.4</c:v>
              </c:pt>
              <c:pt idx="16">
                <c:v>2058.8000000000002</c:v>
              </c:pt>
              <c:pt idx="17">
                <c:v>2475.6999999999998</c:v>
              </c:pt>
              <c:pt idx="18">
                <c:v>2314.8000000000002</c:v>
              </c:pt>
            </c:numLit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4031512"/>
        <c:axId val="334030336"/>
      </c:scatterChart>
      <c:valAx>
        <c:axId val="334030336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595959">
                  <a:alpha val="75000"/>
                </a:srgbClr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t-BR" sz="900" b="1" i="0" u="none" strike="noStrike" kern="1200" baseline="0">
                    <a:solidFill>
                      <a:srgbClr val="BFBFBF"/>
                    </a:solidFill>
                    <a:latin typeface="Calibri"/>
                  </a:defRPr>
                </a:pPr>
                <a:r>
                  <a:rPr lang="pt-BR" sz="900" b="1" i="0" u="none" strike="noStrike" kern="1200" cap="none" spc="0" baseline="0">
                    <a:solidFill>
                      <a:srgbClr val="BFBFBF"/>
                    </a:solidFill>
                    <a:uFillTx/>
                    <a:latin typeface="Calibri"/>
                  </a:rPr>
                  <a:t>Produlçao x 10³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0.0" sourceLinked="0"/>
        <c:majorTickMark val="none"/>
        <c:minorTickMark val="none"/>
        <c:tickLblPos val="nextTo"/>
        <c:spPr>
          <a:noFill/>
          <a:ln w="9528" cap="flat">
            <a:solidFill>
              <a:srgbClr val="7F7F7F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900" b="0" i="0" u="none" strike="noStrike" kern="1200" baseline="0">
                <a:solidFill>
                  <a:srgbClr val="BFBFBF"/>
                </a:solidFill>
                <a:latin typeface="Calibri"/>
              </a:defRPr>
            </a:pPr>
            <a:endParaRPr lang="pt-BR"/>
          </a:p>
        </c:txPr>
        <c:crossAx val="334031512"/>
        <c:crosses val="autoZero"/>
        <c:crossBetween val="midCat"/>
      </c:valAx>
      <c:valAx>
        <c:axId val="334031512"/>
        <c:scaling>
          <c:orientation val="minMax"/>
        </c:scaling>
        <c:delete val="0"/>
        <c:axPos val="b"/>
        <c:majorGridlines>
          <c:spPr>
            <a:ln w="9528" cap="flat">
              <a:solidFill>
                <a:srgbClr val="595959">
                  <a:alpha val="75000"/>
                </a:srgbClr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t-BR" sz="900" b="1" i="0" u="none" strike="noStrike" kern="1200" baseline="0">
                    <a:solidFill>
                      <a:srgbClr val="BFBFBF"/>
                    </a:solidFill>
                    <a:latin typeface="Calibri"/>
                  </a:defRPr>
                </a:pPr>
                <a:r>
                  <a:rPr lang="pt-BR" sz="900" b="1" i="0" u="none" strike="noStrike" kern="1200" cap="none" spc="0" baseline="0">
                    <a:solidFill>
                      <a:srgbClr val="BFBFBF"/>
                    </a:solidFill>
                    <a:uFillTx/>
                    <a:latin typeface="Calibri"/>
                  </a:rPr>
                  <a:t>Ano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900" b="0" i="0" u="none" strike="noStrike" kern="1200" baseline="0">
                <a:solidFill>
                  <a:srgbClr val="BFBFBF"/>
                </a:solidFill>
                <a:latin typeface="Calibri"/>
              </a:defRPr>
            </a:pPr>
            <a:endParaRPr lang="pt-BR"/>
          </a:p>
        </c:txPr>
        <c:crossAx val="334030336"/>
        <c:crosses val="autoZero"/>
        <c:crossBetween val="midCat"/>
      </c:valAx>
      <c:spPr>
        <a:noFill/>
        <a:ln>
          <a:noFill/>
        </a:ln>
      </c:spPr>
    </c:plotArea>
    <c:legend>
      <c:legendPos val="t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pt-BR" sz="900" b="0" i="0" u="none" strike="noStrike" kern="1200" baseline="0">
              <a:solidFill>
                <a:srgbClr val="BFBFBF"/>
              </a:solidFill>
              <a:latin typeface="Calibri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rgbClr val="404040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BR" sz="900" b="0" i="0" u="none" strike="noStrike" kern="1200" baseline="0">
          <a:solidFill>
            <a:srgbClr val="000000"/>
          </a:solidFill>
          <a:latin typeface="Calibri"/>
        </a:defRPr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1200" b="1" i="0" u="none" strike="noStrike" kern="1200" cap="none" baseline="0">
                <a:solidFill>
                  <a:srgbClr val="D9D9D9"/>
                </a:solidFill>
                <a:latin typeface="Times New Roman" pitchFamily="18"/>
                <a:cs typeface="Times New Roman" pitchFamily="18"/>
              </a:defRPr>
            </a:pPr>
            <a:r>
              <a:rPr lang="pt-BR" sz="1200" b="1" i="0" u="none" strike="noStrike" kern="1200" cap="none" spc="0" baseline="0">
                <a:solidFill>
                  <a:srgbClr val="D9D9D9"/>
                </a:solidFill>
                <a:uFillTx/>
                <a:latin typeface="Times New Roman" pitchFamily="18"/>
                <a:cs typeface="Times New Roman" pitchFamily="18"/>
              </a:rPr>
              <a:t>Reta de ajuste P(t+1) = aP(t) + b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Série1</c:v>
          </c:tx>
          <c:spPr>
            <a:ln>
              <a:noFill/>
            </a:ln>
          </c:spPr>
          <c:marker>
            <c:symbol val="circle"/>
            <c:size val="3"/>
          </c:marker>
          <c:trendline>
            <c:spPr>
              <a:ln w="25402" cap="rnd">
                <a:solidFill>
                  <a:srgbClr val="5B9BD5">
                    <a:alpha val="50000"/>
                  </a:srgbClr>
                </a:solidFill>
                <a:prstDash val="solid"/>
                <a:round/>
              </a:ln>
            </c:spPr>
            <c:trendlineType val="linear"/>
            <c:dispRSqr val="0"/>
            <c:dispEq val="0"/>
          </c:trendline>
          <c:xVal>
            <c:numLit>
              <c:formatCode>General</c:formatCode>
              <c:ptCount val="7"/>
              <c:pt idx="0">
                <c:v>856.4</c:v>
              </c:pt>
              <c:pt idx="1">
                <c:v>1071</c:v>
              </c:pt>
              <c:pt idx="2">
                <c:v>1227.0999999999999</c:v>
              </c:pt>
              <c:pt idx="3">
                <c:v>1382.9</c:v>
              </c:pt>
              <c:pt idx="4">
                <c:v>1536.4</c:v>
              </c:pt>
              <c:pt idx="5">
                <c:v>2058.8000000000002</c:v>
              </c:pt>
              <c:pt idx="6">
                <c:v>2475.6999999999998</c:v>
              </c:pt>
            </c:numLit>
          </c:xVal>
          <c:yVal>
            <c:numLit>
              <c:formatCode>General</c:formatCode>
              <c:ptCount val="7"/>
              <c:pt idx="0">
                <c:v>1071</c:v>
              </c:pt>
              <c:pt idx="1">
                <c:v>1227.0999999999999</c:v>
              </c:pt>
              <c:pt idx="2">
                <c:v>1382.9</c:v>
              </c:pt>
              <c:pt idx="3">
                <c:v>1536.4</c:v>
              </c:pt>
              <c:pt idx="4">
                <c:v>2058.8000000000002</c:v>
              </c:pt>
              <c:pt idx="5">
                <c:v>2475.6999999999998</c:v>
              </c:pt>
              <c:pt idx="6">
                <c:v>2314.8000000000002</c:v>
              </c:pt>
            </c:numLit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4026024"/>
        <c:axId val="334024848"/>
      </c:scatterChart>
      <c:valAx>
        <c:axId val="334024848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595959">
                  <a:alpha val="75000"/>
                </a:srgbClr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t-BR" sz="900" b="1" i="0" u="none" strike="noStrike" kern="1200" baseline="0">
                    <a:solidFill>
                      <a:srgbClr val="BFBFBF"/>
                    </a:solidFill>
                    <a:latin typeface="Calibri"/>
                  </a:defRPr>
                </a:pPr>
                <a:r>
                  <a:rPr lang="pt-BR" sz="900" b="1" i="0" u="none" strike="noStrike" kern="1200" cap="none" spc="0" baseline="0">
                    <a:solidFill>
                      <a:srgbClr val="BFBFBF"/>
                    </a:solidFill>
                    <a:uFillTx/>
                    <a:latin typeface="Calibri"/>
                  </a:rPr>
                  <a:t>P (t+1)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0.0" sourceLinked="0"/>
        <c:majorTickMark val="none"/>
        <c:minorTickMark val="none"/>
        <c:tickLblPos val="nextTo"/>
        <c:spPr>
          <a:noFill/>
          <a:ln w="9528" cap="flat">
            <a:solidFill>
              <a:srgbClr val="7F7F7F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900" b="0" i="0" u="none" strike="noStrike" kern="1200" baseline="0">
                <a:solidFill>
                  <a:srgbClr val="BFBFBF"/>
                </a:solidFill>
                <a:latin typeface="Calibri"/>
              </a:defRPr>
            </a:pPr>
            <a:endParaRPr lang="pt-BR"/>
          </a:p>
        </c:txPr>
        <c:crossAx val="334026024"/>
        <c:crosses val="autoZero"/>
        <c:crossBetween val="midCat"/>
      </c:valAx>
      <c:valAx>
        <c:axId val="334026024"/>
        <c:scaling>
          <c:orientation val="minMax"/>
        </c:scaling>
        <c:delete val="0"/>
        <c:axPos val="b"/>
        <c:majorGridlines>
          <c:spPr>
            <a:ln w="9528" cap="flat">
              <a:solidFill>
                <a:srgbClr val="595959">
                  <a:alpha val="75000"/>
                </a:srgbClr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t-BR" sz="900" b="1" i="0" u="none" strike="noStrike" kern="1200" baseline="0">
                    <a:solidFill>
                      <a:srgbClr val="BFBFBF"/>
                    </a:solidFill>
                    <a:latin typeface="Calibri"/>
                  </a:defRPr>
                </a:pPr>
                <a:r>
                  <a:rPr lang="pt-BR" sz="900" b="1" i="0" u="none" strike="noStrike" kern="1200" cap="none" spc="0" baseline="0">
                    <a:solidFill>
                      <a:srgbClr val="BFBFBF"/>
                    </a:solidFill>
                    <a:uFillTx/>
                    <a:latin typeface="Calibri"/>
                  </a:rPr>
                  <a:t>P (t)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0.0" sourceLinked="0"/>
        <c:majorTickMark val="none"/>
        <c:minorTickMark val="none"/>
        <c:tickLblPos val="nextTo"/>
        <c:spPr>
          <a:noFill/>
          <a:ln w="9528" cap="flat">
            <a:solidFill>
              <a:srgbClr val="7F7F7F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900" b="0" i="0" u="none" strike="noStrike" kern="1200" baseline="0">
                <a:solidFill>
                  <a:srgbClr val="BFBFBF"/>
                </a:solidFill>
                <a:latin typeface="Calibri"/>
              </a:defRPr>
            </a:pPr>
            <a:endParaRPr lang="pt-BR"/>
          </a:p>
        </c:txPr>
        <c:crossAx val="334024848"/>
        <c:crosses val="autoZero"/>
        <c:crossBetween val="midCat"/>
      </c:val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404040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BR" sz="900" b="0" i="0" u="none" strike="noStrike" kern="1200" baseline="0">
          <a:solidFill>
            <a:srgbClr val="000000"/>
          </a:solidFill>
          <a:latin typeface="Calibri"/>
        </a:defRPr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12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Times New Roman" pitchFamily="18"/>
                <a:cs typeface="Times New Roman" pitchFamily="18"/>
              </a:defRPr>
            </a:pPr>
            <a:r>
              <a:rPr lang="pt-BR" sz="12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Times New Roman" pitchFamily="18"/>
                <a:cs typeface="Times New Roman" pitchFamily="18"/>
              </a:rPr>
              <a:t>Produção de soja no Tocantins (Modelo de Verhulst)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2.900838847049745E-2"/>
          <c:y val="9.4169471483252706E-2"/>
          <c:w val="0.94220920207115666"/>
          <c:h val="0.79531131154557966"/>
        </c:manualLayout>
      </c:layout>
      <c:scatterChart>
        <c:scatterStyle val="smoothMarker"/>
        <c:varyColors val="0"/>
        <c:ser>
          <c:idx val="0"/>
          <c:order val="0"/>
          <c:tx>
            <c:v>Modelo de Verhulst</c:v>
          </c:tx>
          <c:spPr>
            <a:ln w="34920" cap="rnd">
              <a:solidFill>
                <a:srgbClr val="4472C4"/>
              </a:solidFill>
              <a:prstDash val="solid"/>
              <a:round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xVal>
            <c:numLit>
              <c:formatCode>General</c:formatCode>
              <c:ptCount val="19"/>
              <c:pt idx="0">
                <c:v>1997</c:v>
              </c:pt>
              <c:pt idx="1">
                <c:v>1998</c:v>
              </c:pt>
              <c:pt idx="2">
                <c:v>1999</c:v>
              </c:pt>
              <c:pt idx="3">
                <c:v>2000</c:v>
              </c:pt>
              <c:pt idx="4">
                <c:v>2001</c:v>
              </c:pt>
              <c:pt idx="5">
                <c:v>2002</c:v>
              </c:pt>
              <c:pt idx="6">
                <c:v>2003</c:v>
              </c:pt>
              <c:pt idx="7">
                <c:v>2004</c:v>
              </c:pt>
              <c:pt idx="8">
                <c:v>2005</c:v>
              </c:pt>
              <c:pt idx="9">
                <c:v>2006</c:v>
              </c:pt>
              <c:pt idx="10">
                <c:v>2007</c:v>
              </c:pt>
              <c:pt idx="11">
                <c:v>2008</c:v>
              </c:pt>
              <c:pt idx="12">
                <c:v>2009</c:v>
              </c:pt>
              <c:pt idx="13">
                <c:v>2010</c:v>
              </c:pt>
              <c:pt idx="14">
                <c:v>2011</c:v>
              </c:pt>
              <c:pt idx="15">
                <c:v>2012</c:v>
              </c:pt>
              <c:pt idx="16">
                <c:v>2013</c:v>
              </c:pt>
              <c:pt idx="17">
                <c:v>2014</c:v>
              </c:pt>
              <c:pt idx="18">
                <c:v>2015</c:v>
              </c:pt>
            </c:numLit>
          </c:xVal>
          <c:yVal>
            <c:numLit>
              <c:formatCode>General</c:formatCode>
              <c:ptCount val="19"/>
              <c:pt idx="0">
                <c:v>117.35960668250509</c:v>
              </c:pt>
              <c:pt idx="1">
                <c:v>144.81993380706422</c:v>
              </c:pt>
              <c:pt idx="2">
                <c:v>178.37837892084011</c:v>
              </c:pt>
              <c:pt idx="3">
                <c:v>219.22268641866046</c:v>
              </c:pt>
              <c:pt idx="4">
                <c:v>268.68931008865917</c:v>
              </c:pt>
              <c:pt idx="5">
                <c:v>328.24067611276507</c:v>
              </c:pt>
              <c:pt idx="6">
                <c:v>399.4179747303661</c:v>
              </c:pt>
              <c:pt idx="7">
                <c:v>483.76178510299184</c:v>
              </c:pt>
              <c:pt idx="8">
                <c:v>582.69426946694398</c:v>
              </c:pt>
              <c:pt idx="9">
                <c:v>697.36104396170197</c:v>
              </c:pt>
              <c:pt idx="10">
                <c:v>828.43910060213705</c:v>
              </c:pt>
              <c:pt idx="11">
                <c:v>975.92932444631106</c:v>
              </c:pt>
              <c:pt idx="12">
                <c:v>1138.9662852896979</c:v>
              </c:pt>
              <c:pt idx="13">
                <c:v>1315.689530682313</c:v>
              </c:pt>
              <c:pt idx="14">
                <c:v>1503.222995066604</c:v>
              </c:pt>
              <c:pt idx="15">
                <c:v>1697.7964219490837</c:v>
              </c:pt>
              <c:pt idx="16">
                <c:v>1895.0137339766393</c:v>
              </c:pt>
              <c:pt idx="17">
                <c:v>2090.2349842065878</c:v>
              </c:pt>
              <c:pt idx="18">
                <c:v>2279.0047867126395</c:v>
              </c:pt>
            </c:numLit>
          </c:yVal>
          <c:smooth val="1"/>
        </c:ser>
        <c:ser>
          <c:idx val="1"/>
          <c:order val="1"/>
          <c:tx>
            <c:v>Dados reais</c:v>
          </c:tx>
          <c:spPr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</c:marker>
          <c:xVal>
            <c:numLit>
              <c:formatCode>General</c:formatCode>
              <c:ptCount val="19"/>
              <c:pt idx="0">
                <c:v>1997</c:v>
              </c:pt>
              <c:pt idx="1">
                <c:v>1998</c:v>
              </c:pt>
              <c:pt idx="2">
                <c:v>1999</c:v>
              </c:pt>
              <c:pt idx="3">
                <c:v>2000</c:v>
              </c:pt>
              <c:pt idx="4">
                <c:v>2001</c:v>
              </c:pt>
              <c:pt idx="5">
                <c:v>2002</c:v>
              </c:pt>
              <c:pt idx="6">
                <c:v>2003</c:v>
              </c:pt>
              <c:pt idx="7">
                <c:v>2004</c:v>
              </c:pt>
              <c:pt idx="8">
                <c:v>2005</c:v>
              </c:pt>
              <c:pt idx="9">
                <c:v>2006</c:v>
              </c:pt>
              <c:pt idx="10">
                <c:v>2007</c:v>
              </c:pt>
              <c:pt idx="11">
                <c:v>2008</c:v>
              </c:pt>
              <c:pt idx="12">
                <c:v>2009</c:v>
              </c:pt>
              <c:pt idx="13">
                <c:v>2010</c:v>
              </c:pt>
              <c:pt idx="14">
                <c:v>2011</c:v>
              </c:pt>
              <c:pt idx="15">
                <c:v>2012</c:v>
              </c:pt>
              <c:pt idx="16">
                <c:v>2013</c:v>
              </c:pt>
              <c:pt idx="17">
                <c:v>2014</c:v>
              </c:pt>
              <c:pt idx="18">
                <c:v>2015</c:v>
              </c:pt>
            </c:numLit>
          </c:xVal>
          <c:yVal>
            <c:numLit>
              <c:formatCode>General</c:formatCode>
              <c:ptCount val="19"/>
              <c:pt idx="0">
                <c:v>80.2</c:v>
              </c:pt>
              <c:pt idx="1">
                <c:v>93.8</c:v>
              </c:pt>
              <c:pt idx="2">
                <c:v>136.69999999999999</c:v>
              </c:pt>
              <c:pt idx="3">
                <c:v>138.6</c:v>
              </c:pt>
              <c:pt idx="4">
                <c:v>262.5</c:v>
              </c:pt>
              <c:pt idx="5">
                <c:v>377.7</c:v>
              </c:pt>
              <c:pt idx="6">
                <c:v>606.6</c:v>
              </c:pt>
              <c:pt idx="7">
                <c:v>921.3</c:v>
              </c:pt>
              <c:pt idx="8">
                <c:v>700.4</c:v>
              </c:pt>
              <c:pt idx="9">
                <c:v>646.5</c:v>
              </c:pt>
              <c:pt idx="10">
                <c:v>910.9</c:v>
              </c:pt>
              <c:pt idx="11">
                <c:v>856.4</c:v>
              </c:pt>
              <c:pt idx="12">
                <c:v>1071</c:v>
              </c:pt>
              <c:pt idx="13">
                <c:v>1227.0999999999999</c:v>
              </c:pt>
              <c:pt idx="14">
                <c:v>1382.9</c:v>
              </c:pt>
              <c:pt idx="15">
                <c:v>1536.4</c:v>
              </c:pt>
              <c:pt idx="16">
                <c:v>2058.8000000000002</c:v>
              </c:pt>
              <c:pt idx="17">
                <c:v>2475.6999999999998</c:v>
              </c:pt>
              <c:pt idx="18">
                <c:v>2314.8000000000002</c:v>
              </c:pt>
            </c:numLit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4026416"/>
        <c:axId val="334025632"/>
      </c:scatterChart>
      <c:valAx>
        <c:axId val="334025632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t-BR" sz="900" b="1" i="0" u="none" strike="noStrike" kern="1200" cap="all" baseline="0">
                    <a:solidFill>
                      <a:srgbClr val="D9D9D9"/>
                    </a:solidFill>
                    <a:latin typeface="Calibri"/>
                  </a:defRPr>
                </a:pPr>
                <a:r>
                  <a:rPr lang="pt-BR" sz="900" b="1" i="0" u="none" strike="noStrike" kern="1200" cap="all" spc="0" baseline="0">
                    <a:solidFill>
                      <a:srgbClr val="D9D9D9"/>
                    </a:solidFill>
                    <a:uFillTx/>
                    <a:latin typeface="Calibri"/>
                  </a:rPr>
                  <a:t>Produção x 10³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BR"/>
          </a:p>
        </c:txPr>
        <c:crossAx val="334026416"/>
        <c:crosses val="autoZero"/>
        <c:crossBetween val="midCat"/>
      </c:valAx>
      <c:valAx>
        <c:axId val="334026416"/>
        <c:scaling>
          <c:orientation val="minMax"/>
        </c:scaling>
        <c:delete val="0"/>
        <c:axPos val="b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t-BR" sz="900" b="1" i="0" u="none" strike="noStrike" kern="1200" cap="all" baseline="0">
                    <a:solidFill>
                      <a:srgbClr val="D9D9D9"/>
                    </a:solidFill>
                    <a:latin typeface="Calibri"/>
                  </a:defRPr>
                </a:pPr>
                <a:r>
                  <a:rPr lang="pt-BR" sz="900" b="1" i="0" u="none" strike="noStrike" kern="1200" cap="all" spc="0" baseline="0">
                    <a:solidFill>
                      <a:srgbClr val="D9D9D9"/>
                    </a:solidFill>
                    <a:uFillTx/>
                    <a:latin typeface="Calibri"/>
                  </a:rPr>
                  <a:t>Ano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BR"/>
          </a:p>
        </c:txPr>
        <c:crossAx val="334025632"/>
        <c:crosses val="autoZero"/>
        <c:crossBetween val="midCat"/>
      </c:valAx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14053569982518066"/>
          <c:y val="0.13341883789751155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pt-BR" sz="900" b="0" i="0" u="none" strike="noStrike" kern="1200" baseline="0">
              <a:solidFill>
                <a:srgbClr val="D9D9D9"/>
              </a:solidFill>
              <a:latin typeface="Calibri"/>
            </a:defRPr>
          </a:pPr>
          <a:endParaRPr lang="pt-BR"/>
        </a:p>
      </c:txPr>
    </c:legend>
    <c:plotVisOnly val="1"/>
    <c:dispBlanksAs val="zero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BR" sz="1000" b="0" i="0" u="none" strike="noStrike" kern="1200" baseline="0">
          <a:solidFill>
            <a:srgbClr val="000000"/>
          </a:solidFill>
          <a:latin typeface="Calibri"/>
        </a:defRPr>
      </a:pPr>
      <a:endParaRPr lang="pt-B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1200" b="1" i="0" u="none" strike="noStrike" kern="1200" cap="none" baseline="0">
                <a:solidFill>
                  <a:srgbClr val="D9D9D9"/>
                </a:solidFill>
                <a:latin typeface="Tahoma" pitchFamily="34"/>
                <a:ea typeface="Tahoma" pitchFamily="34"/>
                <a:cs typeface="Tahoma" pitchFamily="34"/>
              </a:defRPr>
            </a:pPr>
            <a:r>
              <a:rPr lang="pt-BR" sz="1200" b="1" i="0" u="none" strike="noStrike" kern="1200" cap="none" spc="0" baseline="0">
                <a:solidFill>
                  <a:srgbClr val="D9D9D9"/>
                </a:solidFill>
                <a:uFillTx/>
                <a:latin typeface="Tahoma" pitchFamily="34"/>
                <a:ea typeface="Tahoma" pitchFamily="34"/>
                <a:cs typeface="Tahoma" pitchFamily="34"/>
              </a:rPr>
              <a:t>Exportação de soja no Tocantins (Modelo de Malthus)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Modelo de Malthus</c:v>
          </c:tx>
          <c:spPr>
            <a:ln w="19046" cap="rnd">
              <a:solidFill>
                <a:srgbClr val="70AD47"/>
              </a:solidFill>
              <a:prstDash val="solid"/>
              <a:round/>
            </a:ln>
          </c:spPr>
          <c:marker>
            <c:symbol val="none"/>
          </c:marker>
          <c:xVal>
            <c:numLit>
              <c:formatCode>General</c:formatCode>
              <c:ptCount val="19"/>
              <c:pt idx="0">
                <c:v>1997</c:v>
              </c:pt>
              <c:pt idx="1">
                <c:v>1998</c:v>
              </c:pt>
              <c:pt idx="2">
                <c:v>1999</c:v>
              </c:pt>
              <c:pt idx="3">
                <c:v>2000</c:v>
              </c:pt>
              <c:pt idx="4">
                <c:v>2001</c:v>
              </c:pt>
              <c:pt idx="5">
                <c:v>2002</c:v>
              </c:pt>
              <c:pt idx="6">
                <c:v>2003</c:v>
              </c:pt>
              <c:pt idx="7">
                <c:v>2004</c:v>
              </c:pt>
              <c:pt idx="8">
                <c:v>2005</c:v>
              </c:pt>
              <c:pt idx="9">
                <c:v>2006</c:v>
              </c:pt>
              <c:pt idx="10">
                <c:v>2007</c:v>
              </c:pt>
              <c:pt idx="11">
                <c:v>2008</c:v>
              </c:pt>
              <c:pt idx="12">
                <c:v>2009</c:v>
              </c:pt>
              <c:pt idx="13">
                <c:v>2010</c:v>
              </c:pt>
              <c:pt idx="14">
                <c:v>2011</c:v>
              </c:pt>
              <c:pt idx="15">
                <c:v>2012</c:v>
              </c:pt>
              <c:pt idx="16">
                <c:v>2013</c:v>
              </c:pt>
              <c:pt idx="17">
                <c:v>2014</c:v>
              </c:pt>
              <c:pt idx="18">
                <c:v>2015</c:v>
              </c:pt>
            </c:numLit>
          </c:xVal>
          <c:yVal>
            <c:numLit>
              <c:formatCode>General</c:formatCode>
              <c:ptCount val="19"/>
              <c:pt idx="0">
                <c:v>16.041607594893964</c:v>
              </c:pt>
              <c:pt idx="1">
                <c:v>21.31960324171504</c:v>
              </c:pt>
              <c:pt idx="2">
                <c:v>28.334160382331113</c:v>
              </c:pt>
              <c:pt idx="3">
                <c:v>37.656640954781643</c:v>
              </c:pt>
              <c:pt idx="4">
                <c:v>50.046395900321158</c:v>
              </c:pt>
              <c:pt idx="5">
                <c:v>66.512617140208377</c:v>
              </c:pt>
              <c:pt idx="6">
                <c:v>88.396540035594299</c:v>
              </c:pt>
              <c:pt idx="7">
                <c:v>117.48069202859133</c:v>
              </c:pt>
              <c:pt idx="8">
                <c:v>156.13408617531002</c:v>
              </c:pt>
              <c:pt idx="9">
                <c:v>207.5051861276599</c:v>
              </c:pt>
              <c:pt idx="10">
                <c:v>275.77836028404511</c:v>
              </c:pt>
              <c:pt idx="11">
                <c:v>366.51471425956237</c:v>
              </c:pt>
              <c:pt idx="12">
                <c:v>487.10506375630348</c:v>
              </c:pt>
              <c:pt idx="13">
                <c:v>647.37194416974774</c:v>
              </c:pt>
              <c:pt idx="14">
                <c:v>860.36969286730357</c:v>
              </c:pt>
              <c:pt idx="15">
                <c:v>1143.4477738356863</c:v>
              </c:pt>
              <c:pt idx="16">
                <c:v>1519.6639564702105</c:v>
              </c:pt>
              <c:pt idx="17">
                <c:v>2019.6624572086071</c:v>
              </c:pt>
              <c:pt idx="18">
                <c:v>2684.1700256762447</c:v>
              </c:pt>
            </c:numLit>
          </c:yVal>
          <c:smooth val="1"/>
        </c:ser>
        <c:ser>
          <c:idx val="1"/>
          <c:order val="1"/>
          <c:tx>
            <c:v>Dados reais</c:v>
          </c:tx>
          <c:spPr>
            <a:ln>
              <a:noFill/>
            </a:ln>
          </c:spPr>
          <c:marker>
            <c:symbol val="circle"/>
            <c:size val="3"/>
          </c:marker>
          <c:xVal>
            <c:numLit>
              <c:formatCode>General</c:formatCode>
              <c:ptCount val="19"/>
              <c:pt idx="0">
                <c:v>1997</c:v>
              </c:pt>
              <c:pt idx="1">
                <c:v>1998</c:v>
              </c:pt>
              <c:pt idx="2">
                <c:v>1999</c:v>
              </c:pt>
              <c:pt idx="3">
                <c:v>2000</c:v>
              </c:pt>
              <c:pt idx="4">
                <c:v>2001</c:v>
              </c:pt>
              <c:pt idx="5">
                <c:v>2002</c:v>
              </c:pt>
              <c:pt idx="6">
                <c:v>2003</c:v>
              </c:pt>
              <c:pt idx="7">
                <c:v>2004</c:v>
              </c:pt>
              <c:pt idx="8">
                <c:v>2005</c:v>
              </c:pt>
              <c:pt idx="9">
                <c:v>2006</c:v>
              </c:pt>
              <c:pt idx="10">
                <c:v>2007</c:v>
              </c:pt>
              <c:pt idx="11">
                <c:v>2008</c:v>
              </c:pt>
              <c:pt idx="12">
                <c:v>2009</c:v>
              </c:pt>
              <c:pt idx="13">
                <c:v>2010</c:v>
              </c:pt>
              <c:pt idx="14">
                <c:v>2011</c:v>
              </c:pt>
              <c:pt idx="15">
                <c:v>2012</c:v>
              </c:pt>
              <c:pt idx="16">
                <c:v>2013</c:v>
              </c:pt>
              <c:pt idx="17">
                <c:v>2014</c:v>
              </c:pt>
              <c:pt idx="18">
                <c:v>2015</c:v>
              </c:pt>
            </c:numLit>
          </c:xVal>
          <c:yVal>
            <c:numLit>
              <c:formatCode>General</c:formatCode>
              <c:ptCount val="19"/>
              <c:pt idx="0">
                <c:v>9.4</c:v>
              </c:pt>
              <c:pt idx="1">
                <c:v>22.7</c:v>
              </c:pt>
              <c:pt idx="2">
                <c:v>20.5</c:v>
              </c:pt>
              <c:pt idx="3">
                <c:v>20.399999999999999</c:v>
              </c:pt>
              <c:pt idx="4">
                <c:v>6.4</c:v>
              </c:pt>
              <c:pt idx="5">
                <c:v>83.7</c:v>
              </c:pt>
              <c:pt idx="6">
                <c:v>185.2</c:v>
              </c:pt>
              <c:pt idx="7">
                <c:v>362.6</c:v>
              </c:pt>
              <c:pt idx="8">
                <c:v>590</c:v>
              </c:pt>
              <c:pt idx="9">
                <c:v>633.9</c:v>
              </c:pt>
              <c:pt idx="10">
                <c:v>434.5</c:v>
              </c:pt>
              <c:pt idx="11">
                <c:v>551.79999999999995</c:v>
              </c:pt>
              <c:pt idx="12">
                <c:v>557.79999999999995</c:v>
              </c:pt>
              <c:pt idx="13">
                <c:v>677.1</c:v>
              </c:pt>
              <c:pt idx="14">
                <c:v>712.9</c:v>
              </c:pt>
              <c:pt idx="15">
                <c:v>796.8</c:v>
              </c:pt>
              <c:pt idx="16">
                <c:v>875.6</c:v>
              </c:pt>
              <c:pt idx="17">
                <c:v>1243.2</c:v>
              </c:pt>
              <c:pt idx="18">
                <c:v>1570.5</c:v>
              </c:pt>
            </c:numLit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6974088"/>
        <c:axId val="336978792"/>
      </c:scatterChart>
      <c:valAx>
        <c:axId val="336978792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595959">
                  <a:alpha val="75000"/>
                </a:srgbClr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t-BR" sz="900" b="1" i="0" u="none" strike="noStrike" kern="1200" baseline="0">
                    <a:solidFill>
                      <a:srgbClr val="BFBFBF"/>
                    </a:solidFill>
                    <a:latin typeface="Calibri"/>
                  </a:defRPr>
                </a:pPr>
                <a:r>
                  <a:rPr lang="pt-BR" sz="900" b="1" i="0" u="none" strike="noStrike" kern="1200" cap="none" spc="0" baseline="0">
                    <a:solidFill>
                      <a:srgbClr val="BFBFBF"/>
                    </a:solidFill>
                    <a:uFillTx/>
                    <a:latin typeface="Calibri"/>
                  </a:rPr>
                  <a:t>Exportação x 10³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9528" cap="flat">
            <a:solidFill>
              <a:srgbClr val="7F7F7F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900" b="0" i="0" u="none" strike="noStrike" kern="1200" baseline="0">
                <a:solidFill>
                  <a:srgbClr val="BFBFBF"/>
                </a:solidFill>
                <a:latin typeface="Calibri"/>
              </a:defRPr>
            </a:pPr>
            <a:endParaRPr lang="pt-BR"/>
          </a:p>
        </c:txPr>
        <c:crossAx val="336974088"/>
        <c:crosses val="autoZero"/>
        <c:crossBetween val="midCat"/>
      </c:valAx>
      <c:valAx>
        <c:axId val="336974088"/>
        <c:scaling>
          <c:orientation val="minMax"/>
        </c:scaling>
        <c:delete val="0"/>
        <c:axPos val="b"/>
        <c:majorGridlines>
          <c:spPr>
            <a:ln w="9528" cap="flat">
              <a:solidFill>
                <a:srgbClr val="595959">
                  <a:alpha val="75000"/>
                </a:srgbClr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t-BR" sz="900" b="1" i="0" u="none" strike="noStrike" kern="1200" baseline="0">
                    <a:solidFill>
                      <a:srgbClr val="BFBFBF"/>
                    </a:solidFill>
                    <a:latin typeface="Calibri"/>
                  </a:defRPr>
                </a:pPr>
                <a:r>
                  <a:rPr lang="pt-BR" sz="900" b="1" i="0" u="none" strike="noStrike" kern="1200" cap="none" spc="0" baseline="0">
                    <a:solidFill>
                      <a:srgbClr val="BFBFBF"/>
                    </a:solidFill>
                    <a:uFillTx/>
                    <a:latin typeface="Calibri"/>
                  </a:rPr>
                  <a:t>ANO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9528" cap="flat">
            <a:solidFill>
              <a:srgbClr val="7F7F7F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900" b="0" i="0" u="none" strike="noStrike" kern="1200" baseline="0">
                <a:solidFill>
                  <a:srgbClr val="BFBFBF"/>
                </a:solidFill>
                <a:latin typeface="Calibri"/>
              </a:defRPr>
            </a:pPr>
            <a:endParaRPr lang="pt-BR"/>
          </a:p>
        </c:txPr>
        <c:crossAx val="336978792"/>
        <c:crosses val="autoZero"/>
        <c:crossBetween val="midCat"/>
      </c:valAx>
      <c:spPr>
        <a:noFill/>
        <a:ln>
          <a:noFill/>
        </a:ln>
      </c:spPr>
    </c:plotArea>
    <c:legend>
      <c:legendPos val="t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pt-BR" sz="900" b="0" i="0" u="none" strike="noStrike" kern="1200" baseline="0">
              <a:solidFill>
                <a:srgbClr val="BFBFBF"/>
              </a:solidFill>
              <a:latin typeface="Calibri"/>
            </a:defRPr>
          </a:pPr>
          <a:endParaRPr lang="pt-BR"/>
        </a:p>
      </c:txPr>
    </c:legend>
    <c:plotVisOnly val="1"/>
    <c:dispBlanksAs val="zero"/>
    <c:showDLblsOverMax val="0"/>
  </c:chart>
  <c:spPr>
    <a:solidFill>
      <a:srgbClr val="404040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BR" sz="900" b="0" i="0" u="none" strike="noStrike" kern="1200" baseline="0">
          <a:solidFill>
            <a:srgbClr val="000000"/>
          </a:solidFill>
          <a:latin typeface="Calibri"/>
        </a:defRPr>
      </a:pPr>
      <a:endParaRPr lang="pt-B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1200" b="1" i="0" u="none" strike="noStrike" kern="1200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latin typeface="Times New Roman" pitchFamily="18"/>
                <a:cs typeface="Times New Roman" pitchFamily="18"/>
              </a:defRPr>
            </a:pPr>
            <a:r>
              <a:rPr lang="pt-BR" sz="1200" b="1" i="0" u="none" strike="noStrike" kern="1200" cap="none" spc="100" baseline="0">
                <a:solidFill>
                  <a:srgbClr val="F2F2F2"/>
                </a:solidFill>
                <a:effectLst>
                  <a:outerShdw dist="38103" dir="5400000">
                    <a:srgbClr val="000000"/>
                  </a:outerShdw>
                </a:effectLst>
                <a:uFillTx/>
                <a:latin typeface="Times New Roman" pitchFamily="18"/>
                <a:cs typeface="Times New Roman" pitchFamily="18"/>
              </a:rPr>
              <a:t>Exportação da soja no Tocantins (Modelo de Verhulst)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Verhulst</c:v>
          </c:tx>
          <c:spPr>
            <a:ln w="34920" cap="rnd">
              <a:solidFill>
                <a:srgbClr val="4472C4"/>
              </a:solidFill>
              <a:prstDash val="solid"/>
              <a:round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xVal>
            <c:numLit>
              <c:formatCode>General</c:formatCode>
              <c:ptCount val="19"/>
              <c:pt idx="0">
                <c:v>1997</c:v>
              </c:pt>
              <c:pt idx="1">
                <c:v>1998</c:v>
              </c:pt>
              <c:pt idx="2">
                <c:v>1999</c:v>
              </c:pt>
              <c:pt idx="3">
                <c:v>2000</c:v>
              </c:pt>
              <c:pt idx="4">
                <c:v>2001</c:v>
              </c:pt>
              <c:pt idx="5">
                <c:v>2002</c:v>
              </c:pt>
              <c:pt idx="6">
                <c:v>2003</c:v>
              </c:pt>
              <c:pt idx="7">
                <c:v>2004</c:v>
              </c:pt>
              <c:pt idx="8">
                <c:v>2005</c:v>
              </c:pt>
              <c:pt idx="9">
                <c:v>2006</c:v>
              </c:pt>
              <c:pt idx="10">
                <c:v>2007</c:v>
              </c:pt>
              <c:pt idx="11">
                <c:v>2008</c:v>
              </c:pt>
              <c:pt idx="12">
                <c:v>2009</c:v>
              </c:pt>
              <c:pt idx="13">
                <c:v>2010</c:v>
              </c:pt>
              <c:pt idx="14">
                <c:v>2011</c:v>
              </c:pt>
              <c:pt idx="15">
                <c:v>2012</c:v>
              </c:pt>
              <c:pt idx="16">
                <c:v>2013</c:v>
              </c:pt>
              <c:pt idx="17">
                <c:v>2014</c:v>
              </c:pt>
              <c:pt idx="18">
                <c:v>2015</c:v>
              </c:pt>
            </c:numLit>
          </c:xVal>
          <c:yVal>
            <c:numLit>
              <c:formatCode>General</c:formatCode>
              <c:ptCount val="19"/>
              <c:pt idx="0">
                <c:v>16.041607594893964</c:v>
              </c:pt>
              <c:pt idx="1">
                <c:v>22.107813320076374</c:v>
              </c:pt>
              <c:pt idx="2">
                <c:v>30.433073255293525</c:v>
              </c:pt>
              <c:pt idx="3">
                <c:v>41.827650925059189</c:v>
              </c:pt>
              <c:pt idx="4">
                <c:v>57.365257166082131</c:v>
              </c:pt>
              <c:pt idx="5">
                <c:v>78.445221691155069</c:v>
              </c:pt>
              <c:pt idx="6">
                <c:v>106.84882389757402</c:v>
              </c:pt>
              <c:pt idx="7">
                <c:v>144.76839674585554</c:v>
              </c:pt>
              <c:pt idx="8">
                <c:v>194.77225685984394</c:v>
              </c:pt>
              <c:pt idx="9">
                <c:v>259.65101654729978</c:v>
              </c:pt>
              <c:pt idx="10">
                <c:v>342.08148194015018</c:v>
              </c:pt>
              <c:pt idx="11">
                <c:v>444.06409295790451</c:v>
              </c:pt>
              <c:pt idx="12">
                <c:v>566.1662310902077</c:v>
              </c:pt>
              <c:pt idx="13">
                <c:v>706.74635971710927</c:v>
              </c:pt>
              <c:pt idx="14">
                <c:v>861.49006517063492</c:v>
              </c:pt>
              <c:pt idx="15">
                <c:v>1023.6234205690791</c:v>
              </c:pt>
              <c:pt idx="16">
                <c:v>1184.9495448423206</c:v>
              </c:pt>
              <c:pt idx="17">
                <c:v>1337.4316295271935</c:v>
              </c:pt>
              <c:pt idx="18">
                <c:v>1474.7121668727768</c:v>
              </c:pt>
            </c:numLit>
          </c:yVal>
          <c:smooth val="1"/>
        </c:ser>
        <c:ser>
          <c:idx val="1"/>
          <c:order val="1"/>
          <c:tx>
            <c:v>Dados reais</c:v>
          </c:tx>
          <c:spPr>
            <a:ln>
              <a:noFill/>
            </a:ln>
            <a:effectLst>
              <a:outerShdw dist="19046" dir="5400000" algn="tl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</c:marker>
          <c:xVal>
            <c:numLit>
              <c:formatCode>General</c:formatCode>
              <c:ptCount val="19"/>
              <c:pt idx="0">
                <c:v>1997</c:v>
              </c:pt>
              <c:pt idx="1">
                <c:v>1998</c:v>
              </c:pt>
              <c:pt idx="2">
                <c:v>1999</c:v>
              </c:pt>
              <c:pt idx="3">
                <c:v>2000</c:v>
              </c:pt>
              <c:pt idx="4">
                <c:v>2001</c:v>
              </c:pt>
              <c:pt idx="5">
                <c:v>2002</c:v>
              </c:pt>
              <c:pt idx="6">
                <c:v>2003</c:v>
              </c:pt>
              <c:pt idx="7">
                <c:v>2004</c:v>
              </c:pt>
              <c:pt idx="8">
                <c:v>2005</c:v>
              </c:pt>
              <c:pt idx="9">
                <c:v>2006</c:v>
              </c:pt>
              <c:pt idx="10">
                <c:v>2007</c:v>
              </c:pt>
              <c:pt idx="11">
                <c:v>2008</c:v>
              </c:pt>
              <c:pt idx="12">
                <c:v>2009</c:v>
              </c:pt>
              <c:pt idx="13">
                <c:v>2010</c:v>
              </c:pt>
              <c:pt idx="14">
                <c:v>2011</c:v>
              </c:pt>
              <c:pt idx="15">
                <c:v>2012</c:v>
              </c:pt>
              <c:pt idx="16">
                <c:v>2013</c:v>
              </c:pt>
              <c:pt idx="17">
                <c:v>2014</c:v>
              </c:pt>
              <c:pt idx="18">
                <c:v>2015</c:v>
              </c:pt>
            </c:numLit>
          </c:xVal>
          <c:yVal>
            <c:numLit>
              <c:formatCode>General</c:formatCode>
              <c:ptCount val="19"/>
              <c:pt idx="0">
                <c:v>9.4</c:v>
              </c:pt>
              <c:pt idx="1">
                <c:v>22.7</c:v>
              </c:pt>
              <c:pt idx="2">
                <c:v>20.5</c:v>
              </c:pt>
              <c:pt idx="3">
                <c:v>20.399999999999999</c:v>
              </c:pt>
              <c:pt idx="4">
                <c:v>6.4</c:v>
              </c:pt>
              <c:pt idx="5">
                <c:v>83.7</c:v>
              </c:pt>
              <c:pt idx="6">
                <c:v>185.2</c:v>
              </c:pt>
              <c:pt idx="7">
                <c:v>362.6</c:v>
              </c:pt>
              <c:pt idx="8">
                <c:v>590</c:v>
              </c:pt>
              <c:pt idx="9">
                <c:v>633.9</c:v>
              </c:pt>
              <c:pt idx="10">
                <c:v>434.5</c:v>
              </c:pt>
              <c:pt idx="11">
                <c:v>551.79999999999995</c:v>
              </c:pt>
              <c:pt idx="12">
                <c:v>557.79999999999995</c:v>
              </c:pt>
              <c:pt idx="13">
                <c:v>677.1</c:v>
              </c:pt>
              <c:pt idx="14">
                <c:v>712.9</c:v>
              </c:pt>
              <c:pt idx="15">
                <c:v>796.8</c:v>
              </c:pt>
              <c:pt idx="16">
                <c:v>875.6</c:v>
              </c:pt>
              <c:pt idx="17">
                <c:v>1243.2</c:v>
              </c:pt>
              <c:pt idx="18">
                <c:v>1470.5</c:v>
              </c:pt>
            </c:numLit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6980360"/>
        <c:axId val="336977224"/>
      </c:scatterChart>
      <c:valAx>
        <c:axId val="336977224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t-BR" sz="900" b="1" i="0" u="none" strike="noStrike" kern="1200" cap="all" baseline="0">
                    <a:solidFill>
                      <a:srgbClr val="D9D9D9"/>
                    </a:solidFill>
                    <a:latin typeface="Calibri"/>
                  </a:defRPr>
                </a:pPr>
                <a:r>
                  <a:rPr lang="pt-BR" sz="900" b="1" i="0" u="none" strike="noStrike" kern="1200" cap="all" spc="0" baseline="0">
                    <a:solidFill>
                      <a:srgbClr val="D9D9D9"/>
                    </a:solidFill>
                    <a:uFillTx/>
                    <a:latin typeface="Calibri"/>
                  </a:rPr>
                  <a:t>Exportação x 10³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BR"/>
          </a:p>
        </c:txPr>
        <c:crossAx val="336980360"/>
        <c:crosses val="autoZero"/>
        <c:crossBetween val="midCat"/>
      </c:valAx>
      <c:valAx>
        <c:axId val="336980360"/>
        <c:scaling>
          <c:orientation val="minMax"/>
        </c:scaling>
        <c:delete val="0"/>
        <c:axPos val="b"/>
        <c:majorGridlines>
          <c:spPr>
            <a:ln w="9528" cap="flat">
              <a:solidFill>
                <a:srgbClr val="F2F2F2">
                  <a:alpha val="10000"/>
                </a:srgbClr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t-BR" sz="900" b="1" i="0" u="none" strike="noStrike" kern="1200" cap="all" baseline="0">
                    <a:solidFill>
                      <a:srgbClr val="D9D9D9"/>
                    </a:solidFill>
                    <a:latin typeface="Calibri"/>
                  </a:defRPr>
                </a:pPr>
                <a:r>
                  <a:rPr lang="pt-BR" sz="900" b="1" i="0" u="none" strike="noStrike" kern="1200" cap="all" spc="0" baseline="0">
                    <a:solidFill>
                      <a:srgbClr val="D9D9D9"/>
                    </a:solidFill>
                    <a:uFillTx/>
                    <a:latin typeface="Calibri"/>
                  </a:rPr>
                  <a:t>Ano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900" b="0" i="0" u="none" strike="noStrike" kern="1200" baseline="0">
                <a:solidFill>
                  <a:srgbClr val="D9D9D9"/>
                </a:solidFill>
                <a:latin typeface="Calibri"/>
              </a:defRPr>
            </a:pPr>
            <a:endParaRPr lang="pt-BR"/>
          </a:p>
        </c:txPr>
        <c:crossAx val="336977224"/>
        <c:crosses val="autoZero"/>
        <c:crossBetween val="midCat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pt-BR" sz="900" b="0" i="0" u="none" strike="noStrike" kern="1200" baseline="0">
              <a:solidFill>
                <a:srgbClr val="D9D9D9"/>
              </a:solidFill>
              <a:latin typeface="Calibri"/>
            </a:defRPr>
          </a:pPr>
          <a:endParaRPr lang="pt-BR"/>
        </a:p>
      </c:txPr>
    </c:legend>
    <c:plotVisOnly val="1"/>
    <c:dispBlanksAs val="gap"/>
    <c:showDLblsOverMax val="0"/>
  </c:chart>
  <c:spPr>
    <a:gradFill>
      <a:gsLst>
        <a:gs pos="0">
          <a:srgbClr val="595959"/>
        </a:gs>
        <a:gs pos="100000">
          <a:srgbClr val="262626"/>
        </a:gs>
      </a:gsLst>
      <a:path path="circle">
        <a:fillToRect l="50000" t="50000" r="50000" b="50000"/>
      </a:path>
    </a:gra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BR" sz="1000" b="0" i="0" u="none" strike="noStrike" kern="1200" baseline="0">
          <a:solidFill>
            <a:srgbClr val="000000"/>
          </a:solidFill>
          <a:latin typeface="Calibri"/>
        </a:defRPr>
      </a:pPr>
      <a:endParaRPr lang="pt-B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1200" b="1" i="0" u="none" strike="noStrike" kern="1200" cap="none" baseline="0">
                <a:solidFill>
                  <a:srgbClr val="D9D9D9"/>
                </a:solidFill>
                <a:latin typeface="Times New Roman" pitchFamily="18"/>
                <a:cs typeface="Times New Roman" pitchFamily="18"/>
              </a:defRPr>
            </a:pPr>
            <a:r>
              <a:rPr lang="pt-BR" sz="1200" b="1" i="0" u="none" strike="noStrike" kern="1200" cap="none" spc="0" baseline="0">
                <a:solidFill>
                  <a:srgbClr val="D9D9D9"/>
                </a:solidFill>
                <a:uFillTx/>
                <a:latin typeface="Times New Roman" pitchFamily="18"/>
                <a:cs typeface="Times New Roman" pitchFamily="18"/>
              </a:rPr>
              <a:t>Projeção Produção Modelo de Verhulst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Verhulst</c:v>
          </c:tx>
          <c:spPr>
            <a:ln w="22229" cap="rnd">
              <a:solidFill>
                <a:srgbClr val="5B9BD5"/>
              </a:solidFill>
              <a:prstDash val="solid"/>
              <a:round/>
            </a:ln>
          </c:spPr>
          <c:marker>
            <c:symbol val="none"/>
          </c:marker>
          <c:xVal>
            <c:numLit>
              <c:formatCode>General</c:formatCode>
              <c:ptCount val="29"/>
              <c:pt idx="0">
                <c:v>1997</c:v>
              </c:pt>
              <c:pt idx="1">
                <c:v>1998</c:v>
              </c:pt>
              <c:pt idx="2">
                <c:v>1999</c:v>
              </c:pt>
              <c:pt idx="3">
                <c:v>2000</c:v>
              </c:pt>
              <c:pt idx="4">
                <c:v>2001</c:v>
              </c:pt>
              <c:pt idx="5">
                <c:v>2002</c:v>
              </c:pt>
              <c:pt idx="6">
                <c:v>2003</c:v>
              </c:pt>
              <c:pt idx="7">
                <c:v>2004</c:v>
              </c:pt>
              <c:pt idx="8">
                <c:v>2005</c:v>
              </c:pt>
              <c:pt idx="9">
                <c:v>2006</c:v>
              </c:pt>
              <c:pt idx="10">
                <c:v>2007</c:v>
              </c:pt>
              <c:pt idx="11">
                <c:v>2008</c:v>
              </c:pt>
              <c:pt idx="12">
                <c:v>2009</c:v>
              </c:pt>
              <c:pt idx="13">
                <c:v>2010</c:v>
              </c:pt>
              <c:pt idx="14">
                <c:v>2011</c:v>
              </c:pt>
              <c:pt idx="15">
                <c:v>2012</c:v>
              </c:pt>
              <c:pt idx="16">
                <c:v>2013</c:v>
              </c:pt>
              <c:pt idx="17">
                <c:v>2014</c:v>
              </c:pt>
              <c:pt idx="18">
                <c:v>2015</c:v>
              </c:pt>
              <c:pt idx="19">
                <c:v>2016</c:v>
              </c:pt>
              <c:pt idx="20">
                <c:v>2017</c:v>
              </c:pt>
              <c:pt idx="21">
                <c:v>2018</c:v>
              </c:pt>
              <c:pt idx="22">
                <c:v>2019</c:v>
              </c:pt>
              <c:pt idx="23">
                <c:v>2020</c:v>
              </c:pt>
              <c:pt idx="24">
                <c:v>2021</c:v>
              </c:pt>
              <c:pt idx="25">
                <c:v>2022</c:v>
              </c:pt>
              <c:pt idx="26">
                <c:v>2023</c:v>
              </c:pt>
              <c:pt idx="27">
                <c:v>2024</c:v>
              </c:pt>
              <c:pt idx="28">
                <c:v>2025</c:v>
              </c:pt>
            </c:numLit>
          </c:xVal>
          <c:yVal>
            <c:numLit>
              <c:formatCode>General</c:formatCode>
              <c:ptCount val="29"/>
              <c:pt idx="0">
                <c:v>117.35960668250509</c:v>
              </c:pt>
              <c:pt idx="1">
                <c:v>144.81993380706422</c:v>
              </c:pt>
              <c:pt idx="2">
                <c:v>178.37837892084011</c:v>
              </c:pt>
              <c:pt idx="3">
                <c:v>219.22268641866046</c:v>
              </c:pt>
              <c:pt idx="4">
                <c:v>268.68931008865917</c:v>
              </c:pt>
              <c:pt idx="5">
                <c:v>328.24067611276507</c:v>
              </c:pt>
              <c:pt idx="6">
                <c:v>399.4179747303661</c:v>
              </c:pt>
              <c:pt idx="7">
                <c:v>483.76178510299184</c:v>
              </c:pt>
              <c:pt idx="8">
                <c:v>582.69426946694398</c:v>
              </c:pt>
              <c:pt idx="9">
                <c:v>697.36104396170197</c:v>
              </c:pt>
              <c:pt idx="10">
                <c:v>828.43910060213705</c:v>
              </c:pt>
              <c:pt idx="11">
                <c:v>975.92932444631106</c:v>
              </c:pt>
              <c:pt idx="12">
                <c:v>1138.9662852896979</c:v>
              </c:pt>
              <c:pt idx="13">
                <c:v>1315.689530682313</c:v>
              </c:pt>
              <c:pt idx="14">
                <c:v>1503.222995066604</c:v>
              </c:pt>
              <c:pt idx="15">
                <c:v>1697.7964219490837</c:v>
              </c:pt>
              <c:pt idx="16">
                <c:v>1895.0137339766393</c:v>
              </c:pt>
              <c:pt idx="17">
                <c:v>2090.2349842065878</c:v>
              </c:pt>
              <c:pt idx="18">
                <c:v>2279.0047867126395</c:v>
              </c:pt>
              <c:pt idx="19">
                <c:v>2457.4454600657746</c:v>
              </c:pt>
              <c:pt idx="20">
                <c:v>2622.5442933321933</c:v>
              </c:pt>
              <c:pt idx="21">
                <c:v>2772.2961786543979</c:v>
              </c:pt>
              <c:pt idx="22">
                <c:v>2905.7014572636981</c:v>
              </c:pt>
              <c:pt idx="23">
                <c:v>3022.6497175153313</c:v>
              </c:pt>
              <c:pt idx="24">
                <c:v>3123.7353812919987</c:v>
              </c:pt>
              <c:pt idx="25">
                <c:v>3210.0503559069753</c:v>
              </c:pt>
              <c:pt idx="26">
                <c:v>3282.9883487752732</c:v>
              </c:pt>
              <c:pt idx="27">
                <c:v>3344.0813345617512</c:v>
              </c:pt>
              <c:pt idx="28">
                <c:v>3394.8760448187932</c:v>
              </c:pt>
            </c:numLit>
          </c:yVal>
          <c:smooth val="1"/>
        </c:ser>
        <c:ser>
          <c:idx val="1"/>
          <c:order val="1"/>
          <c:tx>
            <c:v>Dados reais</c:v>
          </c:tx>
          <c:spPr>
            <a:ln>
              <a:noFill/>
            </a:ln>
          </c:spPr>
          <c:marker>
            <c:symbol val="circle"/>
            <c:size val="3"/>
          </c:marker>
          <c:xVal>
            <c:numLit>
              <c:formatCode>General</c:formatCode>
              <c:ptCount val="29"/>
              <c:pt idx="0">
                <c:v>1997</c:v>
              </c:pt>
              <c:pt idx="1">
                <c:v>1998</c:v>
              </c:pt>
              <c:pt idx="2">
                <c:v>1999</c:v>
              </c:pt>
              <c:pt idx="3">
                <c:v>2000</c:v>
              </c:pt>
              <c:pt idx="4">
                <c:v>2001</c:v>
              </c:pt>
              <c:pt idx="5">
                <c:v>2002</c:v>
              </c:pt>
              <c:pt idx="6">
                <c:v>2003</c:v>
              </c:pt>
              <c:pt idx="7">
                <c:v>2004</c:v>
              </c:pt>
              <c:pt idx="8">
                <c:v>2005</c:v>
              </c:pt>
              <c:pt idx="9">
                <c:v>2006</c:v>
              </c:pt>
              <c:pt idx="10">
                <c:v>2007</c:v>
              </c:pt>
              <c:pt idx="11">
                <c:v>2008</c:v>
              </c:pt>
              <c:pt idx="12">
                <c:v>2009</c:v>
              </c:pt>
              <c:pt idx="13">
                <c:v>2010</c:v>
              </c:pt>
              <c:pt idx="14">
                <c:v>2011</c:v>
              </c:pt>
              <c:pt idx="15">
                <c:v>2012</c:v>
              </c:pt>
              <c:pt idx="16">
                <c:v>2013</c:v>
              </c:pt>
              <c:pt idx="17">
                <c:v>2014</c:v>
              </c:pt>
              <c:pt idx="18">
                <c:v>2015</c:v>
              </c:pt>
              <c:pt idx="19">
                <c:v>2016</c:v>
              </c:pt>
              <c:pt idx="20">
                <c:v>2017</c:v>
              </c:pt>
              <c:pt idx="21">
                <c:v>2018</c:v>
              </c:pt>
              <c:pt idx="22">
                <c:v>2019</c:v>
              </c:pt>
              <c:pt idx="23">
                <c:v>2020</c:v>
              </c:pt>
              <c:pt idx="24">
                <c:v>2021</c:v>
              </c:pt>
              <c:pt idx="25">
                <c:v>2022</c:v>
              </c:pt>
              <c:pt idx="26">
                <c:v>2023</c:v>
              </c:pt>
              <c:pt idx="27">
                <c:v>2024</c:v>
              </c:pt>
              <c:pt idx="28">
                <c:v>2025</c:v>
              </c:pt>
            </c:numLit>
          </c:xVal>
          <c:yVal>
            <c:numLit>
              <c:formatCode>General</c:formatCode>
              <c:ptCount val="29"/>
              <c:pt idx="0">
                <c:v>80.2</c:v>
              </c:pt>
              <c:pt idx="1">
                <c:v>93.8</c:v>
              </c:pt>
              <c:pt idx="2">
                <c:v>136.69999999999999</c:v>
              </c:pt>
              <c:pt idx="3">
                <c:v>138.6</c:v>
              </c:pt>
              <c:pt idx="4">
                <c:v>262.5</c:v>
              </c:pt>
              <c:pt idx="5">
                <c:v>377.7</c:v>
              </c:pt>
              <c:pt idx="6">
                <c:v>606.6</c:v>
              </c:pt>
              <c:pt idx="7">
                <c:v>921.3</c:v>
              </c:pt>
              <c:pt idx="8">
                <c:v>700.4</c:v>
              </c:pt>
              <c:pt idx="9">
                <c:v>646.5</c:v>
              </c:pt>
              <c:pt idx="10">
                <c:v>910.9</c:v>
              </c:pt>
              <c:pt idx="11">
                <c:v>856.4</c:v>
              </c:pt>
              <c:pt idx="12">
                <c:v>1071</c:v>
              </c:pt>
              <c:pt idx="13">
                <c:v>1227.0999999999999</c:v>
              </c:pt>
              <c:pt idx="14">
                <c:v>1382.9</c:v>
              </c:pt>
              <c:pt idx="15">
                <c:v>1536.4</c:v>
              </c:pt>
              <c:pt idx="16">
                <c:v>2058.8000000000002</c:v>
              </c:pt>
              <c:pt idx="17">
                <c:v>2475.6999999999998</c:v>
              </c:pt>
              <c:pt idx="18">
                <c:v>2314.8000000000002</c:v>
              </c:pt>
              <c:pt idx="19">
                <c:v>2713.15</c:v>
              </c:pt>
              <c:pt idx="20">
                <c:v>2831.16</c:v>
              </c:pt>
              <c:pt idx="21">
                <c:v>2915.66</c:v>
              </c:pt>
              <c:pt idx="22">
                <c:v>3013.38</c:v>
              </c:pt>
              <c:pt idx="23">
                <c:v>3105.08</c:v>
              </c:pt>
              <c:pt idx="24">
                <c:v>3199.15</c:v>
              </c:pt>
              <c:pt idx="25">
                <c:v>3292.14</c:v>
              </c:pt>
              <c:pt idx="26">
                <c:v>3385.59</c:v>
              </c:pt>
              <c:pt idx="27">
                <c:v>3478.81</c:v>
              </c:pt>
              <c:pt idx="28">
                <c:v>3572.11</c:v>
              </c:pt>
            </c:numLit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4814320"/>
        <c:axId val="336979968"/>
      </c:scatterChart>
      <c:valAx>
        <c:axId val="336979968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595959">
                  <a:alpha val="75000"/>
                </a:srgbClr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t-BR" sz="900" b="1" i="0" u="none" strike="noStrike" kern="1200" baseline="0">
                    <a:solidFill>
                      <a:srgbClr val="BFBFBF"/>
                    </a:solidFill>
                    <a:latin typeface="Calibri"/>
                  </a:defRPr>
                </a:pPr>
                <a:r>
                  <a:rPr lang="pt-BR" sz="900" b="1" i="0" u="none" strike="noStrike" kern="1200" cap="none" spc="0" baseline="0">
                    <a:solidFill>
                      <a:srgbClr val="BFBFBF"/>
                    </a:solidFill>
                    <a:uFillTx/>
                    <a:latin typeface="Calibri"/>
                  </a:rPr>
                  <a:t>Produção x 10³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9528" cap="flat">
            <a:solidFill>
              <a:srgbClr val="7F7F7F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900" b="0" i="0" u="none" strike="noStrike" kern="1200" baseline="0">
                <a:solidFill>
                  <a:srgbClr val="BFBFBF"/>
                </a:solidFill>
                <a:latin typeface="Calibri"/>
              </a:defRPr>
            </a:pPr>
            <a:endParaRPr lang="pt-BR"/>
          </a:p>
        </c:txPr>
        <c:crossAx val="264814320"/>
        <c:crosses val="autoZero"/>
        <c:crossBetween val="midCat"/>
      </c:valAx>
      <c:valAx>
        <c:axId val="264814320"/>
        <c:scaling>
          <c:orientation val="minMax"/>
        </c:scaling>
        <c:delete val="0"/>
        <c:axPos val="b"/>
        <c:majorGridlines>
          <c:spPr>
            <a:ln w="9528" cap="flat">
              <a:solidFill>
                <a:srgbClr val="595959">
                  <a:alpha val="75000"/>
                </a:srgbClr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t-BR" sz="900" b="1" i="0" u="none" strike="noStrike" kern="1200" baseline="0">
                    <a:solidFill>
                      <a:srgbClr val="BFBFBF"/>
                    </a:solidFill>
                    <a:latin typeface="Calibri"/>
                  </a:defRPr>
                </a:pPr>
                <a:r>
                  <a:rPr lang="pt-BR" sz="900" b="1" i="0" u="none" strike="noStrike" kern="1200" cap="none" spc="0" baseline="0">
                    <a:solidFill>
                      <a:srgbClr val="BFBFBF"/>
                    </a:solidFill>
                    <a:uFillTx/>
                    <a:latin typeface="Calibri"/>
                  </a:rPr>
                  <a:t>Ano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900" b="0" i="0" u="none" strike="noStrike" kern="1200" baseline="0">
                <a:solidFill>
                  <a:srgbClr val="BFBFBF"/>
                </a:solidFill>
                <a:latin typeface="Calibri"/>
              </a:defRPr>
            </a:pPr>
            <a:endParaRPr lang="pt-BR"/>
          </a:p>
        </c:txPr>
        <c:crossAx val="336979968"/>
        <c:crosses val="autoZero"/>
        <c:crossBetween val="midCat"/>
      </c:valAx>
      <c:spPr>
        <a:noFill/>
        <a:ln>
          <a:noFill/>
        </a:ln>
      </c:spPr>
    </c:plotArea>
    <c:legend>
      <c:legendPos val="t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pt-BR" sz="900" b="0" i="0" u="none" strike="noStrike" kern="1200" baseline="0">
              <a:solidFill>
                <a:srgbClr val="BFBFBF"/>
              </a:solidFill>
              <a:latin typeface="Calibri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rgbClr val="404040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BR" sz="900" b="0" i="0" u="none" strike="noStrike" kern="1200" baseline="0">
          <a:solidFill>
            <a:srgbClr val="000000"/>
          </a:solidFill>
          <a:latin typeface="Calibri"/>
        </a:defRPr>
      </a:pPr>
      <a:endParaRPr lang="pt-B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1200" b="1" i="0" u="none" strike="noStrike" kern="1200" cap="none" baseline="0">
                <a:solidFill>
                  <a:srgbClr val="D9D9D9"/>
                </a:solidFill>
                <a:latin typeface="Times New Roman" pitchFamily="18"/>
                <a:cs typeface="Times New Roman" pitchFamily="18"/>
              </a:defRPr>
            </a:pPr>
            <a:r>
              <a:rPr lang="pt-BR" sz="1200" b="1" i="0" u="none" strike="noStrike" kern="1200" cap="none" spc="0" baseline="0">
                <a:solidFill>
                  <a:srgbClr val="D9D9D9"/>
                </a:solidFill>
                <a:uFillTx/>
                <a:latin typeface="Times New Roman" pitchFamily="18"/>
                <a:cs typeface="Times New Roman" pitchFamily="18"/>
              </a:rPr>
              <a:t>Projeções Exportações Modelo de Verhulst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Verhulst</c:v>
          </c:tx>
          <c:spPr>
            <a:ln w="19046" cap="rnd">
              <a:solidFill>
                <a:srgbClr val="70AD47"/>
              </a:solidFill>
              <a:prstDash val="solid"/>
              <a:round/>
            </a:ln>
          </c:spPr>
          <c:marker>
            <c:symbol val="none"/>
          </c:marker>
          <c:xVal>
            <c:numLit>
              <c:formatCode>General</c:formatCode>
              <c:ptCount val="29"/>
              <c:pt idx="0">
                <c:v>1997</c:v>
              </c:pt>
              <c:pt idx="1">
                <c:v>1998</c:v>
              </c:pt>
              <c:pt idx="2">
                <c:v>1999</c:v>
              </c:pt>
              <c:pt idx="3">
                <c:v>2000</c:v>
              </c:pt>
              <c:pt idx="4">
                <c:v>2001</c:v>
              </c:pt>
              <c:pt idx="5">
                <c:v>2002</c:v>
              </c:pt>
              <c:pt idx="6">
                <c:v>2003</c:v>
              </c:pt>
              <c:pt idx="7">
                <c:v>2004</c:v>
              </c:pt>
              <c:pt idx="8">
                <c:v>2005</c:v>
              </c:pt>
              <c:pt idx="9">
                <c:v>2006</c:v>
              </c:pt>
              <c:pt idx="10">
                <c:v>2007</c:v>
              </c:pt>
              <c:pt idx="11">
                <c:v>2008</c:v>
              </c:pt>
              <c:pt idx="12">
                <c:v>2009</c:v>
              </c:pt>
              <c:pt idx="13">
                <c:v>2010</c:v>
              </c:pt>
              <c:pt idx="14">
                <c:v>2011</c:v>
              </c:pt>
              <c:pt idx="15">
                <c:v>2012</c:v>
              </c:pt>
              <c:pt idx="16">
                <c:v>2013</c:v>
              </c:pt>
              <c:pt idx="17">
                <c:v>2014</c:v>
              </c:pt>
              <c:pt idx="18">
                <c:v>2015</c:v>
              </c:pt>
              <c:pt idx="19">
                <c:v>2016</c:v>
              </c:pt>
              <c:pt idx="20">
                <c:v>2017</c:v>
              </c:pt>
              <c:pt idx="21">
                <c:v>2018</c:v>
              </c:pt>
              <c:pt idx="22">
                <c:v>2019</c:v>
              </c:pt>
              <c:pt idx="23">
                <c:v>2020</c:v>
              </c:pt>
              <c:pt idx="24">
                <c:v>2021</c:v>
              </c:pt>
              <c:pt idx="25">
                <c:v>2022</c:v>
              </c:pt>
              <c:pt idx="26">
                <c:v>2023</c:v>
              </c:pt>
              <c:pt idx="27">
                <c:v>2024</c:v>
              </c:pt>
              <c:pt idx="28">
                <c:v>2025</c:v>
              </c:pt>
            </c:numLit>
          </c:xVal>
          <c:yVal>
            <c:numLit>
              <c:formatCode>General</c:formatCode>
              <c:ptCount val="29"/>
              <c:pt idx="0">
                <c:v>16.041607594893964</c:v>
              </c:pt>
              <c:pt idx="1">
                <c:v>22.107813320076374</c:v>
              </c:pt>
              <c:pt idx="2">
                <c:v>30.433073255293525</c:v>
              </c:pt>
              <c:pt idx="3">
                <c:v>41.827650925059189</c:v>
              </c:pt>
              <c:pt idx="4">
                <c:v>57.365257166082131</c:v>
              </c:pt>
              <c:pt idx="5">
                <c:v>78.445221691155069</c:v>
              </c:pt>
              <c:pt idx="6">
                <c:v>106.84882389757402</c:v>
              </c:pt>
              <c:pt idx="7">
                <c:v>144.76839674585554</c:v>
              </c:pt>
              <c:pt idx="8">
                <c:v>194.77225685984394</c:v>
              </c:pt>
              <c:pt idx="9">
                <c:v>259.65101654729978</c:v>
              </c:pt>
              <c:pt idx="10">
                <c:v>342.08148194015018</c:v>
              </c:pt>
              <c:pt idx="11">
                <c:v>444.06409295790451</c:v>
              </c:pt>
              <c:pt idx="12">
                <c:v>566.1662310902077</c:v>
              </c:pt>
              <c:pt idx="13">
                <c:v>706.74635971710927</c:v>
              </c:pt>
              <c:pt idx="14">
                <c:v>861.49006517063492</c:v>
              </c:pt>
              <c:pt idx="15">
                <c:v>1023.6234205690791</c:v>
              </c:pt>
              <c:pt idx="16">
                <c:v>1184.9495448423206</c:v>
              </c:pt>
              <c:pt idx="17">
                <c:v>1337.4316295271935</c:v>
              </c:pt>
              <c:pt idx="18">
                <c:v>1474.7121668727768</c:v>
              </c:pt>
              <c:pt idx="19">
                <c:v>1592.998771643664</c:v>
              </c:pt>
              <c:pt idx="20">
                <c:v>1691.1253960246049</c:v>
              </c:pt>
              <c:pt idx="21">
                <c:v>1769.998144316258</c:v>
              </c:pt>
              <c:pt idx="22">
                <c:v>1831.8015384686234</c:v>
              </c:pt>
              <c:pt idx="23">
                <c:v>1879.2707047355266</c:v>
              </c:pt>
              <c:pt idx="24">
                <c:v>1915.1731453617142</c:v>
              </c:pt>
              <c:pt idx="25">
                <c:v>1942.0123324140607</c:v>
              </c:pt>
              <c:pt idx="26">
                <c:v>1961.9017151584283</c:v>
              </c:pt>
              <c:pt idx="27">
                <c:v>1976.5456883135596</c:v>
              </c:pt>
              <c:pt idx="28">
                <c:v>1987.2762551848566</c:v>
              </c:pt>
            </c:numLit>
          </c:yVal>
          <c:smooth val="1"/>
        </c:ser>
        <c:ser>
          <c:idx val="1"/>
          <c:order val="1"/>
          <c:tx>
            <c:v>Dados reais</c:v>
          </c:tx>
          <c:spPr>
            <a:ln>
              <a:noFill/>
            </a:ln>
          </c:spPr>
          <c:marker>
            <c:symbol val="circle"/>
            <c:size val="3"/>
          </c:marker>
          <c:xVal>
            <c:numLit>
              <c:formatCode>General</c:formatCode>
              <c:ptCount val="29"/>
              <c:pt idx="0">
                <c:v>1997</c:v>
              </c:pt>
              <c:pt idx="1">
                <c:v>1998</c:v>
              </c:pt>
              <c:pt idx="2">
                <c:v>1999</c:v>
              </c:pt>
              <c:pt idx="3">
                <c:v>2000</c:v>
              </c:pt>
              <c:pt idx="4">
                <c:v>2001</c:v>
              </c:pt>
              <c:pt idx="5">
                <c:v>2002</c:v>
              </c:pt>
              <c:pt idx="6">
                <c:v>2003</c:v>
              </c:pt>
              <c:pt idx="7">
                <c:v>2004</c:v>
              </c:pt>
              <c:pt idx="8">
                <c:v>2005</c:v>
              </c:pt>
              <c:pt idx="9">
                <c:v>2006</c:v>
              </c:pt>
              <c:pt idx="10">
                <c:v>2007</c:v>
              </c:pt>
              <c:pt idx="11">
                <c:v>2008</c:v>
              </c:pt>
              <c:pt idx="12">
                <c:v>2009</c:v>
              </c:pt>
              <c:pt idx="13">
                <c:v>2010</c:v>
              </c:pt>
              <c:pt idx="14">
                <c:v>2011</c:v>
              </c:pt>
              <c:pt idx="15">
                <c:v>2012</c:v>
              </c:pt>
              <c:pt idx="16">
                <c:v>2013</c:v>
              </c:pt>
              <c:pt idx="17">
                <c:v>2014</c:v>
              </c:pt>
              <c:pt idx="18">
                <c:v>2015</c:v>
              </c:pt>
              <c:pt idx="19">
                <c:v>2016</c:v>
              </c:pt>
              <c:pt idx="20">
                <c:v>2017</c:v>
              </c:pt>
              <c:pt idx="21">
                <c:v>2018</c:v>
              </c:pt>
              <c:pt idx="22">
                <c:v>2019</c:v>
              </c:pt>
              <c:pt idx="23">
                <c:v>2020</c:v>
              </c:pt>
              <c:pt idx="24">
                <c:v>2021</c:v>
              </c:pt>
              <c:pt idx="25">
                <c:v>2022</c:v>
              </c:pt>
              <c:pt idx="26">
                <c:v>2023</c:v>
              </c:pt>
              <c:pt idx="27">
                <c:v>2024</c:v>
              </c:pt>
              <c:pt idx="28">
                <c:v>2025</c:v>
              </c:pt>
            </c:numLit>
          </c:xVal>
          <c:yVal>
            <c:numLit>
              <c:formatCode>General</c:formatCode>
              <c:ptCount val="29"/>
              <c:pt idx="0">
                <c:v>9.4</c:v>
              </c:pt>
              <c:pt idx="1">
                <c:v>22.7</c:v>
              </c:pt>
              <c:pt idx="2">
                <c:v>20.5</c:v>
              </c:pt>
              <c:pt idx="3">
                <c:v>20.399999999999999</c:v>
              </c:pt>
              <c:pt idx="4">
                <c:v>6.4</c:v>
              </c:pt>
              <c:pt idx="5">
                <c:v>83.7</c:v>
              </c:pt>
              <c:pt idx="6">
                <c:v>185.2</c:v>
              </c:pt>
              <c:pt idx="7">
                <c:v>362.6</c:v>
              </c:pt>
              <c:pt idx="8">
                <c:v>590</c:v>
              </c:pt>
              <c:pt idx="9">
                <c:v>633.9</c:v>
              </c:pt>
              <c:pt idx="10">
                <c:v>434.5</c:v>
              </c:pt>
              <c:pt idx="11">
                <c:v>551.79999999999995</c:v>
              </c:pt>
              <c:pt idx="12">
                <c:v>557.79999999999995</c:v>
              </c:pt>
              <c:pt idx="13">
                <c:v>677.1</c:v>
              </c:pt>
              <c:pt idx="14">
                <c:v>712.9</c:v>
              </c:pt>
              <c:pt idx="15">
                <c:v>796.8</c:v>
              </c:pt>
              <c:pt idx="16">
                <c:v>875.6</c:v>
              </c:pt>
              <c:pt idx="17">
                <c:v>1243.2</c:v>
              </c:pt>
              <c:pt idx="18">
                <c:v>1470.5</c:v>
              </c:pt>
              <c:pt idx="19">
                <c:v>1379.34</c:v>
              </c:pt>
              <c:pt idx="20">
                <c:v>1435.09</c:v>
              </c:pt>
              <c:pt idx="21">
                <c:v>1490.82</c:v>
              </c:pt>
              <c:pt idx="22">
                <c:v>1546.57</c:v>
              </c:pt>
              <c:pt idx="23">
                <c:v>1602.32</c:v>
              </c:pt>
              <c:pt idx="24">
                <c:v>1658.07</c:v>
              </c:pt>
              <c:pt idx="25">
                <c:v>1713.82</c:v>
              </c:pt>
              <c:pt idx="26">
                <c:v>1769.54</c:v>
              </c:pt>
              <c:pt idx="27">
                <c:v>1825.29</c:v>
              </c:pt>
              <c:pt idx="28">
                <c:v>1881.04</c:v>
              </c:pt>
            </c:numLit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4811968"/>
        <c:axId val="264810008"/>
      </c:scatterChart>
      <c:valAx>
        <c:axId val="264810008"/>
        <c:scaling>
          <c:orientation val="minMax"/>
        </c:scaling>
        <c:delete val="0"/>
        <c:axPos val="l"/>
        <c:majorGridlines>
          <c:spPr>
            <a:ln w="9528" cap="flat">
              <a:solidFill>
                <a:srgbClr val="595959">
                  <a:alpha val="75000"/>
                </a:srgbClr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t-BR" sz="900" b="1" i="0" u="none" strike="noStrike" kern="1200" baseline="0">
                    <a:solidFill>
                      <a:srgbClr val="BFBFBF"/>
                    </a:solidFill>
                    <a:latin typeface="Calibri"/>
                  </a:defRPr>
                </a:pPr>
                <a:r>
                  <a:rPr lang="pt-BR" sz="900" b="1" i="0" u="none" strike="noStrike" kern="1200" cap="none" spc="0" baseline="0">
                    <a:solidFill>
                      <a:srgbClr val="BFBFBF"/>
                    </a:solidFill>
                    <a:uFillTx/>
                    <a:latin typeface="Calibri"/>
                  </a:rPr>
                  <a:t>Exportação x 10³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0.0" sourceLinked="0"/>
        <c:majorTickMark val="none"/>
        <c:minorTickMark val="none"/>
        <c:tickLblPos val="nextTo"/>
        <c:spPr>
          <a:noFill/>
          <a:ln w="9528" cap="flat">
            <a:solidFill>
              <a:srgbClr val="7F7F7F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900" b="0" i="0" u="none" strike="noStrike" kern="1200" baseline="0">
                <a:solidFill>
                  <a:srgbClr val="BFBFBF"/>
                </a:solidFill>
                <a:latin typeface="Calibri"/>
              </a:defRPr>
            </a:pPr>
            <a:endParaRPr lang="pt-BR"/>
          </a:p>
        </c:txPr>
        <c:crossAx val="264811968"/>
        <c:crosses val="autoZero"/>
        <c:crossBetween val="midCat"/>
      </c:valAx>
      <c:valAx>
        <c:axId val="264811968"/>
        <c:scaling>
          <c:orientation val="minMax"/>
        </c:scaling>
        <c:delete val="0"/>
        <c:axPos val="b"/>
        <c:majorGridlines>
          <c:spPr>
            <a:ln w="9528" cap="flat">
              <a:solidFill>
                <a:srgbClr val="595959">
                  <a:alpha val="75000"/>
                </a:srgbClr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pt-BR" sz="900" b="1" i="0" u="none" strike="noStrike" kern="1200" baseline="0">
                    <a:solidFill>
                      <a:srgbClr val="BFBFBF"/>
                    </a:solidFill>
                    <a:latin typeface="Calibri"/>
                  </a:defRPr>
                </a:pPr>
                <a:r>
                  <a:rPr lang="pt-BR" sz="900" b="1" i="0" u="none" strike="noStrike" kern="1200" cap="none" spc="0" baseline="0">
                    <a:solidFill>
                      <a:srgbClr val="BFBFBF"/>
                    </a:solidFill>
                    <a:uFillTx/>
                    <a:latin typeface="Calibri"/>
                  </a:rPr>
                  <a:t>Ano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pt-BR" sz="900" b="0" i="0" u="none" strike="noStrike" kern="1200" baseline="0">
                <a:solidFill>
                  <a:srgbClr val="BFBFBF"/>
                </a:solidFill>
                <a:latin typeface="Calibri"/>
              </a:defRPr>
            </a:pPr>
            <a:endParaRPr lang="pt-BR"/>
          </a:p>
        </c:txPr>
        <c:crossAx val="264810008"/>
        <c:crosses val="autoZero"/>
        <c:crossBetween val="midCat"/>
      </c:valAx>
      <c:spPr>
        <a:noFill/>
        <a:ln>
          <a:noFill/>
        </a:ln>
      </c:spPr>
    </c:plotArea>
    <c:legend>
      <c:legendPos val="t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pt-BR" sz="900" b="0" i="0" u="none" strike="noStrike" kern="1200" baseline="0">
              <a:solidFill>
                <a:srgbClr val="BFBFBF"/>
              </a:solidFill>
              <a:latin typeface="Calibri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rgbClr val="404040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BR" sz="900" b="0" i="0" u="none" strike="noStrike" kern="1200" baseline="0">
          <a:solidFill>
            <a:srgbClr val="000000"/>
          </a:solidFill>
          <a:latin typeface="Calibri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725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Laina Rosa</dc:creator>
  <cp:keywords/>
  <dc:description/>
  <cp:lastModifiedBy>Laina Rosa</cp:lastModifiedBy>
  <cp:revision>4</cp:revision>
  <dcterms:created xsi:type="dcterms:W3CDTF">2016-08-25T12:21:00Z</dcterms:created>
  <dcterms:modified xsi:type="dcterms:W3CDTF">2016-08-26T18:27:00Z</dcterms:modified>
</cp:coreProperties>
</file>