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FB" w:rsidRPr="008E4372" w:rsidRDefault="00E245FB" w:rsidP="00E245FB">
      <w:pPr>
        <w:spacing w:after="0" w:line="360" w:lineRule="auto"/>
        <w:jc w:val="center"/>
        <w:rPr>
          <w:rFonts w:ascii="Arial" w:hAnsi="Arial" w:cs="Arial"/>
        </w:rPr>
      </w:pPr>
      <w:r w:rsidRPr="008E4372">
        <w:rPr>
          <w:rFonts w:ascii="Arial" w:hAnsi="Arial" w:cs="Arial"/>
          <w:b/>
        </w:rPr>
        <w:t xml:space="preserve">Gráfico 1 – </w:t>
      </w:r>
      <w:r w:rsidRPr="008E4372">
        <w:rPr>
          <w:rFonts w:ascii="Arial" w:hAnsi="Arial" w:cs="Arial"/>
        </w:rPr>
        <w:t>Volume da produção nos anos de 2002 a 2015.</w:t>
      </w:r>
    </w:p>
    <w:p w:rsidR="00E245FB" w:rsidRPr="008E4372" w:rsidRDefault="00E245FB" w:rsidP="00E245FB">
      <w:pPr>
        <w:spacing w:after="0" w:line="360" w:lineRule="auto"/>
        <w:jc w:val="center"/>
        <w:rPr>
          <w:rFonts w:ascii="Arial" w:hAnsi="Arial" w:cs="Arial"/>
        </w:rPr>
      </w:pPr>
      <w:r w:rsidRPr="008E4372">
        <w:rPr>
          <w:noProof/>
          <w:lang w:eastAsia="pt-BR"/>
        </w:rPr>
        <w:drawing>
          <wp:inline distT="0" distB="0" distL="0" distR="0">
            <wp:extent cx="5406390" cy="2242185"/>
            <wp:effectExtent l="0" t="0" r="3810" b="5715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245FB" w:rsidRPr="008E4372" w:rsidRDefault="00E245FB" w:rsidP="00E245FB">
      <w:pPr>
        <w:spacing w:after="0" w:line="360" w:lineRule="auto"/>
        <w:jc w:val="both"/>
        <w:rPr>
          <w:rFonts w:ascii="Arial" w:hAnsi="Arial" w:cs="Arial"/>
        </w:rPr>
      </w:pPr>
      <w:r w:rsidRPr="008E4372">
        <w:rPr>
          <w:rFonts w:ascii="Arial" w:hAnsi="Arial" w:cs="Arial"/>
          <w:b/>
        </w:rPr>
        <w:t xml:space="preserve">Fonte: </w:t>
      </w:r>
      <w:r w:rsidRPr="008E4372">
        <w:rPr>
          <w:rFonts w:ascii="Arial" w:hAnsi="Arial" w:cs="Arial"/>
        </w:rPr>
        <w:t>autoria própria (2016).</w:t>
      </w:r>
    </w:p>
    <w:p w:rsidR="00446E59" w:rsidRPr="008E4372" w:rsidRDefault="00446E59"/>
    <w:p w:rsidR="00E245FB" w:rsidRPr="008E4372" w:rsidRDefault="00E245FB" w:rsidP="008E4372">
      <w:pPr>
        <w:spacing w:after="0" w:line="360" w:lineRule="auto"/>
        <w:ind w:firstLine="709"/>
        <w:jc w:val="center"/>
        <w:rPr>
          <w:rFonts w:ascii="Arial" w:hAnsi="Arial" w:cs="Arial"/>
          <w:b/>
        </w:rPr>
      </w:pPr>
      <w:r w:rsidRPr="008E4372">
        <w:rPr>
          <w:rFonts w:ascii="Arial" w:hAnsi="Arial" w:cs="Arial"/>
          <w:b/>
        </w:rPr>
        <w:t xml:space="preserve">Gráfico 2 </w:t>
      </w:r>
      <w:proofErr w:type="gramStart"/>
      <w:r w:rsidRPr="008E4372">
        <w:rPr>
          <w:rFonts w:ascii="Arial" w:hAnsi="Arial" w:cs="Arial"/>
          <w:b/>
        </w:rPr>
        <w:t>–</w:t>
      </w:r>
      <w:r w:rsidRPr="008E4372">
        <w:rPr>
          <w:rFonts w:ascii="Arial" w:hAnsi="Arial" w:cs="Arial"/>
        </w:rPr>
        <w:t>Porcentagem</w:t>
      </w:r>
      <w:proofErr w:type="gramEnd"/>
      <w:r w:rsidRPr="008E4372">
        <w:rPr>
          <w:rFonts w:ascii="Arial" w:hAnsi="Arial" w:cs="Arial"/>
        </w:rPr>
        <w:t xml:space="preserve"> de distribuição das produções por região pesquisada</w:t>
      </w:r>
    </w:p>
    <w:p w:rsidR="00E245FB" w:rsidRPr="008E4372" w:rsidRDefault="00E245FB" w:rsidP="00E245FB">
      <w:pPr>
        <w:tabs>
          <w:tab w:val="left" w:pos="984"/>
        </w:tabs>
        <w:spacing w:after="0"/>
        <w:jc w:val="center"/>
        <w:rPr>
          <w:rFonts w:ascii="Arial" w:hAnsi="Arial" w:cs="Arial"/>
          <w:noProof/>
          <w:color w:val="231F20"/>
          <w:lang w:eastAsia="pt-BR"/>
        </w:rPr>
      </w:pPr>
    </w:p>
    <w:p w:rsidR="00E245FB" w:rsidRPr="008E4372" w:rsidRDefault="00E245FB" w:rsidP="00E245FB">
      <w:pPr>
        <w:tabs>
          <w:tab w:val="left" w:pos="984"/>
        </w:tabs>
        <w:spacing w:after="0"/>
        <w:jc w:val="center"/>
        <w:rPr>
          <w:rFonts w:ascii="Arial" w:hAnsi="Arial" w:cs="Arial"/>
          <w:color w:val="231F20"/>
        </w:rPr>
      </w:pPr>
      <w:r w:rsidRPr="008E4372">
        <w:rPr>
          <w:rFonts w:ascii="Arial" w:hAnsi="Arial" w:cs="Arial"/>
          <w:noProof/>
          <w:color w:val="231F20"/>
          <w:lang w:eastAsia="pt-BR"/>
        </w:rPr>
        <w:drawing>
          <wp:inline distT="0" distB="0" distL="0" distR="0">
            <wp:extent cx="4573905" cy="2137410"/>
            <wp:effectExtent l="0" t="0" r="17145" b="15240"/>
            <wp:docPr id="2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45FB" w:rsidRPr="008E4372" w:rsidRDefault="00E245FB" w:rsidP="00E245FB">
      <w:pPr>
        <w:spacing w:after="0"/>
        <w:jc w:val="both"/>
        <w:rPr>
          <w:rFonts w:ascii="Arial" w:hAnsi="Arial" w:cs="Arial"/>
        </w:rPr>
      </w:pPr>
      <w:r w:rsidRPr="008E4372">
        <w:rPr>
          <w:rFonts w:ascii="Arial" w:hAnsi="Arial" w:cs="Arial"/>
          <w:b/>
        </w:rPr>
        <w:tab/>
        <w:t xml:space="preserve">Fonte: </w:t>
      </w:r>
      <w:r w:rsidRPr="008E4372">
        <w:rPr>
          <w:rFonts w:ascii="Arial" w:hAnsi="Arial" w:cs="Arial"/>
        </w:rPr>
        <w:t>autoria própria (2016).</w:t>
      </w:r>
    </w:p>
    <w:p w:rsidR="00E245FB" w:rsidRPr="008E4372" w:rsidRDefault="00E245FB"/>
    <w:p w:rsidR="00E245FB" w:rsidRPr="008E4372" w:rsidRDefault="00E245FB" w:rsidP="00E245FB">
      <w:pPr>
        <w:spacing w:after="0" w:line="360" w:lineRule="auto"/>
        <w:jc w:val="center"/>
        <w:rPr>
          <w:rFonts w:ascii="Arial" w:hAnsi="Arial" w:cs="Arial"/>
          <w:b/>
        </w:rPr>
      </w:pPr>
      <w:r w:rsidRPr="008E4372">
        <w:rPr>
          <w:rFonts w:ascii="Arial" w:hAnsi="Arial" w:cs="Arial"/>
          <w:b/>
        </w:rPr>
        <w:t xml:space="preserve">Gráfico 3 - </w:t>
      </w:r>
      <w:r w:rsidRPr="008E4372">
        <w:rPr>
          <w:rFonts w:ascii="Arial" w:hAnsi="Arial" w:cs="Arial"/>
        </w:rPr>
        <w:t>Distribuição das amostras nas produções.</w:t>
      </w:r>
    </w:p>
    <w:p w:rsidR="00E245FB" w:rsidRPr="008E4372" w:rsidRDefault="00E245FB" w:rsidP="00E245FB">
      <w:pPr>
        <w:tabs>
          <w:tab w:val="left" w:pos="984"/>
        </w:tabs>
        <w:spacing w:after="0" w:line="360" w:lineRule="auto"/>
        <w:jc w:val="center"/>
        <w:rPr>
          <w:rFonts w:ascii="Arial" w:hAnsi="Arial" w:cs="Arial"/>
          <w:color w:val="231F20"/>
        </w:rPr>
      </w:pPr>
      <w:r w:rsidRPr="008E4372">
        <w:rPr>
          <w:rFonts w:ascii="Arial" w:hAnsi="Arial" w:cs="Arial"/>
          <w:noProof/>
          <w:color w:val="231F20"/>
          <w:lang w:eastAsia="pt-BR"/>
        </w:rPr>
        <w:lastRenderedPageBreak/>
        <w:drawing>
          <wp:inline distT="0" distB="0" distL="0" distR="0">
            <wp:extent cx="4829810" cy="5495925"/>
            <wp:effectExtent l="19050" t="0" r="27940" b="0"/>
            <wp:docPr id="3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245FB" w:rsidRPr="008E4372" w:rsidRDefault="00E245FB" w:rsidP="00E245FB">
      <w:pPr>
        <w:tabs>
          <w:tab w:val="left" w:pos="984"/>
        </w:tabs>
        <w:spacing w:after="0" w:line="360" w:lineRule="auto"/>
        <w:jc w:val="both"/>
        <w:rPr>
          <w:rFonts w:ascii="Arial" w:hAnsi="Arial" w:cs="Arial"/>
          <w:color w:val="231F20"/>
        </w:rPr>
      </w:pPr>
      <w:r w:rsidRPr="008E4372">
        <w:rPr>
          <w:rFonts w:ascii="Arial" w:hAnsi="Arial" w:cs="Arial"/>
          <w:b/>
          <w:color w:val="231F20"/>
        </w:rPr>
        <w:t>Fonte:</w:t>
      </w:r>
      <w:r w:rsidRPr="008E4372">
        <w:rPr>
          <w:rFonts w:ascii="Arial" w:hAnsi="Arial" w:cs="Arial"/>
          <w:color w:val="231F20"/>
        </w:rPr>
        <w:t xml:space="preserve"> autoria própria (2016). </w:t>
      </w:r>
    </w:p>
    <w:p w:rsidR="00E245FB" w:rsidRPr="008E4372" w:rsidRDefault="00E245FB" w:rsidP="00E245FB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E245FB" w:rsidRPr="008E4372" w:rsidRDefault="00E245FB" w:rsidP="00E245FB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E245FB" w:rsidRPr="008E4372" w:rsidRDefault="00E245FB" w:rsidP="00E245FB">
      <w:pPr>
        <w:spacing w:after="0" w:line="360" w:lineRule="auto"/>
        <w:jc w:val="center"/>
        <w:rPr>
          <w:rFonts w:ascii="Arial" w:hAnsi="Arial" w:cs="Arial"/>
          <w:b/>
        </w:rPr>
      </w:pPr>
      <w:r w:rsidRPr="008E4372">
        <w:rPr>
          <w:rFonts w:ascii="Arial" w:hAnsi="Arial" w:cs="Arial"/>
          <w:b/>
        </w:rPr>
        <w:t>Gráfico 4–</w:t>
      </w:r>
      <w:r w:rsidRPr="008E4372">
        <w:rPr>
          <w:rFonts w:ascii="Arial" w:hAnsi="Arial" w:cs="Arial"/>
        </w:rPr>
        <w:t xml:space="preserve"> Relação dos sexos na coordenação de pesquisas.</w:t>
      </w:r>
    </w:p>
    <w:p w:rsidR="00E245FB" w:rsidRPr="008E4372" w:rsidRDefault="00E245FB" w:rsidP="00E245FB">
      <w:pPr>
        <w:spacing w:after="0" w:line="360" w:lineRule="auto"/>
        <w:ind w:firstLine="709"/>
        <w:rPr>
          <w:rFonts w:ascii="Arial" w:hAnsi="Arial" w:cs="Arial"/>
          <w:color w:val="231F20"/>
        </w:rPr>
      </w:pPr>
      <w:r w:rsidRPr="008E4372">
        <w:rPr>
          <w:rFonts w:ascii="Arial" w:hAnsi="Arial" w:cs="Arial"/>
          <w:noProof/>
          <w:lang w:eastAsia="pt-BR"/>
        </w:rPr>
        <w:lastRenderedPageBreak/>
        <w:drawing>
          <wp:inline distT="0" distB="0" distL="0" distR="0">
            <wp:extent cx="4458335" cy="2164715"/>
            <wp:effectExtent l="0" t="0" r="18415" b="6985"/>
            <wp:docPr id="4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8E4372">
        <w:rPr>
          <w:rFonts w:ascii="Arial" w:hAnsi="Arial" w:cs="Arial"/>
        </w:rPr>
        <w:br w:type="textWrapping" w:clear="all"/>
      </w:r>
      <w:r w:rsidRPr="008E4372">
        <w:rPr>
          <w:rFonts w:ascii="Arial" w:hAnsi="Arial" w:cs="Arial"/>
          <w:b/>
          <w:color w:val="231F20"/>
        </w:rPr>
        <w:tab/>
        <w:t>Fonte:</w:t>
      </w:r>
      <w:r w:rsidRPr="008E4372">
        <w:rPr>
          <w:rFonts w:ascii="Arial" w:hAnsi="Arial" w:cs="Arial"/>
          <w:color w:val="231F20"/>
        </w:rPr>
        <w:t xml:space="preserve"> autoria própria (2016).</w:t>
      </w:r>
    </w:p>
    <w:p w:rsidR="00E245FB" w:rsidRPr="008E4372" w:rsidRDefault="00E245FB">
      <w:bookmarkStart w:id="0" w:name="_GoBack"/>
      <w:bookmarkEnd w:id="0"/>
    </w:p>
    <w:sectPr w:rsidR="00E245FB" w:rsidRPr="008E4372" w:rsidSect="00252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245FB"/>
    <w:rsid w:val="00252638"/>
    <w:rsid w:val="00446E59"/>
    <w:rsid w:val="008E4372"/>
    <w:rsid w:val="00E245FB"/>
    <w:rsid w:val="00EF3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LeticiaR\Documents\Doutorado\2016_2\Dudu%20artigo\mapeamento%20da%20produ&#231;&#227;o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Isabella\Meus%20documentos\MED\pesquisa%20em%20saude\mapeamento%20da%20produ&#231;&#227;o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Isabella\Meus%20documentos\MED\pesquisa%20em%20saude\mapeamento%20da%20produ&#231;&#227;o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Isabella\Meus%20documentos\MED\pesquisa%20em%20saude\mapeamento%20da%20produ&#231;&#227;o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ser>
          <c:idx val="0"/>
          <c:order val="0"/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Ano!$C$2:$C$15</c:f>
              <c:numCache>
                <c:formatCode>General</c:formatCode>
                <c:ptCount val="14"/>
                <c:pt idx="0">
                  <c:v>2015</c:v>
                </c:pt>
                <c:pt idx="1">
                  <c:v>2014</c:v>
                </c:pt>
                <c:pt idx="2">
                  <c:v>2013</c:v>
                </c:pt>
                <c:pt idx="3">
                  <c:v>2012</c:v>
                </c:pt>
                <c:pt idx="4">
                  <c:v>2011</c:v>
                </c:pt>
                <c:pt idx="5">
                  <c:v>2010</c:v>
                </c:pt>
                <c:pt idx="6">
                  <c:v>2009</c:v>
                </c:pt>
                <c:pt idx="7">
                  <c:v>2008</c:v>
                </c:pt>
                <c:pt idx="8">
                  <c:v>2007</c:v>
                </c:pt>
                <c:pt idx="9">
                  <c:v>2006</c:v>
                </c:pt>
                <c:pt idx="10">
                  <c:v>2005</c:v>
                </c:pt>
                <c:pt idx="11">
                  <c:v>2004</c:v>
                </c:pt>
                <c:pt idx="12">
                  <c:v>2003</c:v>
                </c:pt>
                <c:pt idx="13">
                  <c:v>2002</c:v>
                </c:pt>
              </c:numCache>
            </c:numRef>
          </c:xVal>
          <c:yVal>
            <c:numRef>
              <c:f>Ano!$D$2:$D$15</c:f>
              <c:numCache>
                <c:formatCode>General</c:formatCode>
                <c:ptCount val="14"/>
                <c:pt idx="0">
                  <c:v>7</c:v>
                </c:pt>
                <c:pt idx="1">
                  <c:v>0</c:v>
                </c:pt>
                <c:pt idx="2">
                  <c:v>6</c:v>
                </c:pt>
                <c:pt idx="3">
                  <c:v>4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</c:numCache>
            </c:numRef>
          </c:yVal>
        </c:ser>
        <c:axId val="74611328"/>
        <c:axId val="74699904"/>
      </c:scatterChart>
      <c:valAx>
        <c:axId val="7461132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74699904"/>
        <c:crosses val="autoZero"/>
        <c:crossBetween val="midCat"/>
      </c:valAx>
      <c:valAx>
        <c:axId val="746999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7461132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spPr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</c:spPr>
          </c:dPt>
          <c:dPt>
            <c:idx val="1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</c:spPr>
          </c:dPt>
          <c:dPt>
            <c:idx val="3"/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</c:spPr>
          </c:dPt>
          <c:dPt>
            <c:idx val="5"/>
            <c:spPr>
              <a:solidFill>
                <a:schemeClr val="bg1">
                  <a:lumMod val="75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3.8985017497812788E-2"/>
                  <c:y val="4.1666666666666664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079615048118994E-2"/>
                  <c:y val="8.9503135024788627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23840769903762E-2"/>
                  <c:y val="-4.906678331875184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3669838145231851E-2"/>
                  <c:y val="5.6117672790901137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pt-BR"/>
              </a:p>
            </c:txPr>
            <c:showCatName val="1"/>
            <c:showPercent val="1"/>
            <c:extLst>
              <c:ext xmlns:c15="http://schemas.microsoft.com/office/drawing/2012/chart" uri="{CE6537A1-D6FC-4f65-9D91-7224C49458BB}"/>
            </c:extLst>
          </c:dLbls>
          <c:cat>
            <c:strRef>
              <c:f>Região!$A$2:$A$7</c:f>
              <c:strCache>
                <c:ptCount val="6"/>
                <c:pt idx="0">
                  <c:v>Sul</c:v>
                </c:pt>
                <c:pt idx="1">
                  <c:v>Sudeste</c:v>
                </c:pt>
                <c:pt idx="2">
                  <c:v>Centro-oeste</c:v>
                </c:pt>
                <c:pt idx="3">
                  <c:v>Nordeste</c:v>
                </c:pt>
                <c:pt idx="4">
                  <c:v>Norte</c:v>
                </c:pt>
                <c:pt idx="5">
                  <c:v>Exterior</c:v>
                </c:pt>
              </c:strCache>
            </c:strRef>
          </c:cat>
          <c:val>
            <c:numRef>
              <c:f>Região!$B$2:$B$7</c:f>
              <c:numCache>
                <c:formatCode>General</c:formatCode>
                <c:ptCount val="6"/>
                <c:pt idx="0">
                  <c:v>3</c:v>
                </c:pt>
                <c:pt idx="1">
                  <c:v>4</c:v>
                </c:pt>
                <c:pt idx="2">
                  <c:v>0</c:v>
                </c:pt>
                <c:pt idx="3">
                  <c:v>7</c:v>
                </c:pt>
                <c:pt idx="4">
                  <c:v>0</c:v>
                </c:pt>
                <c:pt idx="5">
                  <c:v>11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Amostra!$B$1</c:f>
              <c:strCache>
                <c:ptCount val="1"/>
                <c:pt idx="0">
                  <c:v>Amostra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Amostra!$A$2:$A$26</c:f>
              <c:strCache>
                <c:ptCount val="25"/>
                <c:pt idx="0">
                  <c:v>Dantas et al. (2015)</c:v>
                </c:pt>
                <c:pt idx="1">
                  <c:v>Gasparotto et al. (2015)</c:v>
                </c:pt>
                <c:pt idx="2">
                  <c:v>da Silva et al. (2015)</c:v>
                </c:pt>
                <c:pt idx="3">
                  <c:v>Carvalho et al. (2015)</c:v>
                </c:pt>
                <c:pt idx="4">
                  <c:v>Caballero et al. (2015)</c:v>
                </c:pt>
                <c:pt idx="5">
                  <c:v>Moreira et al. (2013)</c:v>
                </c:pt>
                <c:pt idx="6">
                  <c:v>Gasparotto et al. (2013a)</c:v>
                </c:pt>
                <c:pt idx="7">
                  <c:v>Gasparotto et al. (2013b)</c:v>
                </c:pt>
                <c:pt idx="8">
                  <c:v>Corvos Hidalgo (2013)</c:v>
                </c:pt>
                <c:pt idx="9">
                  <c:v>Leroux et al. (2013)</c:v>
                </c:pt>
                <c:pt idx="10">
                  <c:v>Pareyn et al. (2013)</c:v>
                </c:pt>
                <c:pt idx="11">
                  <c:v>Freitas et al. (2013)</c:v>
                </c:pt>
                <c:pt idx="12">
                  <c:v>Ortiz-Galeano et al. (2012)</c:v>
                </c:pt>
                <c:pt idx="13">
                  <c:v>Dumith et al. (2012)</c:v>
                </c:pt>
                <c:pt idx="14">
                  <c:v>Mascena et al. (2012)</c:v>
                </c:pt>
                <c:pt idx="15">
                  <c:v>Tayem et al. (2012)</c:v>
                </c:pt>
                <c:pt idx="16">
                  <c:v>Freitas (2011)</c:v>
                </c:pt>
                <c:pt idx="17">
                  <c:v>Zemdegs et al. (2011)</c:v>
                </c:pt>
                <c:pt idx="18">
                  <c:v>Martins et al. (2010)</c:v>
                </c:pt>
                <c:pt idx="19">
                  <c:v>Petribú et al. (2009)</c:v>
                </c:pt>
                <c:pt idx="20">
                  <c:v>Valdés et al. (2009)</c:v>
                </c:pt>
                <c:pt idx="21">
                  <c:v>Racette et al. (2008)</c:v>
                </c:pt>
                <c:pt idx="22">
                  <c:v>Oviedo et al. (2008)</c:v>
                </c:pt>
                <c:pt idx="23">
                  <c:v>Simão (2005)</c:v>
                </c:pt>
                <c:pt idx="24">
                  <c:v>Mc Coll et al. (2002)</c:v>
                </c:pt>
              </c:strCache>
            </c:strRef>
          </c:cat>
          <c:val>
            <c:numRef>
              <c:f>Amostra!$B$2:$B$26</c:f>
              <c:numCache>
                <c:formatCode>General</c:formatCode>
                <c:ptCount val="25"/>
                <c:pt idx="0">
                  <c:v>406</c:v>
                </c:pt>
                <c:pt idx="1">
                  <c:v>1599</c:v>
                </c:pt>
                <c:pt idx="2">
                  <c:v>90</c:v>
                </c:pt>
                <c:pt idx="3">
                  <c:v>1276</c:v>
                </c:pt>
                <c:pt idx="4">
                  <c:v>306</c:v>
                </c:pt>
                <c:pt idx="5">
                  <c:v>80</c:v>
                </c:pt>
                <c:pt idx="6">
                  <c:v>6641</c:v>
                </c:pt>
                <c:pt idx="7">
                  <c:v>1599</c:v>
                </c:pt>
                <c:pt idx="8">
                  <c:v>223</c:v>
                </c:pt>
                <c:pt idx="9">
                  <c:v>115</c:v>
                </c:pt>
                <c:pt idx="10">
                  <c:v>58</c:v>
                </c:pt>
                <c:pt idx="11">
                  <c:v>702</c:v>
                </c:pt>
                <c:pt idx="12">
                  <c:v>545</c:v>
                </c:pt>
                <c:pt idx="13">
                  <c:v>54</c:v>
                </c:pt>
                <c:pt idx="14">
                  <c:v>234</c:v>
                </c:pt>
                <c:pt idx="15">
                  <c:v>553</c:v>
                </c:pt>
                <c:pt idx="16">
                  <c:v>702</c:v>
                </c:pt>
                <c:pt idx="17">
                  <c:v>56</c:v>
                </c:pt>
                <c:pt idx="18">
                  <c:v>605</c:v>
                </c:pt>
                <c:pt idx="19">
                  <c:v>250</c:v>
                </c:pt>
                <c:pt idx="20">
                  <c:v>144</c:v>
                </c:pt>
                <c:pt idx="21">
                  <c:v>204</c:v>
                </c:pt>
                <c:pt idx="22">
                  <c:v>120</c:v>
                </c:pt>
                <c:pt idx="23">
                  <c:v>667</c:v>
                </c:pt>
                <c:pt idx="24">
                  <c:v>242</c:v>
                </c:pt>
              </c:numCache>
            </c:numRef>
          </c:val>
        </c:ser>
        <c:dLbls>
          <c:showVal val="1"/>
        </c:dLbls>
        <c:gapWidth val="75"/>
        <c:axId val="75865088"/>
        <c:axId val="79766272"/>
      </c:barChart>
      <c:catAx>
        <c:axId val="75865088"/>
        <c:scaling>
          <c:orientation val="minMax"/>
        </c:scaling>
        <c:axPos val="l"/>
        <c:numFmt formatCode="General" sourceLinked="0"/>
        <c:majorTickMark val="none"/>
        <c:tickLblPos val="nextTo"/>
        <c:txPr>
          <a:bodyPr/>
          <a:lstStyle/>
          <a:p>
            <a:pPr>
              <a:defRPr sz="1100">
                <a:latin typeface="Arial" pitchFamily="34" charset="0"/>
                <a:cs typeface="Arial" pitchFamily="34" charset="0"/>
              </a:defRPr>
            </a:pPr>
            <a:endParaRPr lang="pt-BR"/>
          </a:p>
        </c:txPr>
        <c:crossAx val="79766272"/>
        <c:crosses val="autoZero"/>
        <c:auto val="1"/>
        <c:lblAlgn val="ctr"/>
        <c:lblOffset val="100"/>
      </c:catAx>
      <c:valAx>
        <c:axId val="79766272"/>
        <c:scaling>
          <c:orientation val="minMax"/>
        </c:scaling>
        <c:axPos val="b"/>
        <c:numFmt formatCode="General" sourceLinked="1"/>
        <c:majorTickMark val="none"/>
        <c:tickLblPos val="nextTo"/>
        <c:crossAx val="75865088"/>
        <c:crosses val="autoZero"/>
        <c:crossBetween val="between"/>
      </c:valAx>
    </c:plotArea>
    <c:legend>
      <c:legendPos val="b"/>
      <c:txPr>
        <a:bodyPr/>
        <a:lstStyle/>
        <a:p>
          <a:pPr>
            <a:defRPr sz="1100">
              <a:latin typeface="Arial" pitchFamily="34" charset="0"/>
              <a:cs typeface="Arial" pitchFamily="34" charset="0"/>
            </a:defRPr>
          </a:pPr>
          <a:endParaRPr lang="pt-BR"/>
        </a:p>
      </c:txPr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3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spPr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</c:spPr>
          </c:dPt>
          <c:dPt>
            <c:idx val="1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</c:spPr>
          </c:dPt>
          <c:dLbls>
            <c:spPr>
              <a:noFill/>
              <a:ln>
                <a:noFill/>
              </a:ln>
              <a:effectLst/>
            </c:spPr>
            <c:showPercent val="1"/>
            <c:extLst>
              <c:ext xmlns:c15="http://schemas.microsoft.com/office/drawing/2012/chart" uri="{CE6537A1-D6FC-4f65-9D91-7224C49458BB}"/>
            </c:extLst>
          </c:dLbls>
          <c:cat>
            <c:strRef>
              <c:f>Plan4!$A$5:$A$6</c:f>
              <c:strCache>
                <c:ptCount val="2"/>
                <c:pt idx="0">
                  <c:v>mulheres</c:v>
                </c:pt>
                <c:pt idx="1">
                  <c:v>homens</c:v>
                </c:pt>
              </c:strCache>
            </c:strRef>
          </c:cat>
          <c:val>
            <c:numRef>
              <c:f>Plan4!$B$5:$B$6</c:f>
              <c:numCache>
                <c:formatCode>General</c:formatCode>
                <c:ptCount val="2"/>
                <c:pt idx="0">
                  <c:v>9</c:v>
                </c:pt>
                <c:pt idx="1">
                  <c:v>16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  <c:dispBlanksAs val="zero"/>
  </c:chart>
  <c:txPr>
    <a:bodyPr/>
    <a:lstStyle/>
    <a:p>
      <a:pPr>
        <a:defRPr sz="1050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2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R. T. e Silva</dc:creator>
  <cp:keywords/>
  <dc:description/>
  <cp:lastModifiedBy>Meus Documentos</cp:lastModifiedBy>
  <cp:revision>2</cp:revision>
  <dcterms:created xsi:type="dcterms:W3CDTF">2016-12-04T16:07:00Z</dcterms:created>
  <dcterms:modified xsi:type="dcterms:W3CDTF">2016-12-04T17:12:00Z</dcterms:modified>
</cp:coreProperties>
</file>