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81" w:rsidRDefault="006D0581" w:rsidP="006D0581">
      <w:pPr>
        <w:autoSpaceDE w:val="0"/>
        <w:autoSpaceDN w:val="0"/>
        <w:adjustRightInd w:val="0"/>
        <w:rPr>
          <w:rFonts w:ascii="Humanist521BT-Bold" w:hAnsi="Humanist521BT-Bold" w:cs="Humanist521BT-Bold"/>
          <w:bCs/>
          <w:sz w:val="20"/>
          <w:szCs w:val="20"/>
        </w:rPr>
      </w:pPr>
      <w:r w:rsidRPr="00330934">
        <w:rPr>
          <w:rFonts w:cs="Arial"/>
          <w:b/>
          <w:noProof/>
          <w:sz w:val="20"/>
          <w:szCs w:val="20"/>
        </w:rPr>
        <w:t xml:space="preserve">Quadro </w:t>
      </w:r>
      <w:r w:rsidR="00192981">
        <w:rPr>
          <w:rFonts w:cs="Arial"/>
          <w:b/>
          <w:noProof/>
          <w:sz w:val="20"/>
          <w:szCs w:val="20"/>
        </w:rPr>
        <w:t>1</w:t>
      </w:r>
      <w:r w:rsidRPr="005D1D3F">
        <w:rPr>
          <w:rFonts w:cs="Arial"/>
          <w:noProof/>
          <w:sz w:val="20"/>
          <w:szCs w:val="20"/>
        </w:rPr>
        <w:t xml:space="preserve"> - </w:t>
      </w:r>
      <w:r w:rsidRPr="005D1D3F">
        <w:rPr>
          <w:rFonts w:ascii="Humanist521BT-Bold" w:hAnsi="Humanist521BT-Bold" w:cs="Humanist521BT-Bold"/>
          <w:bCs/>
          <w:sz w:val="20"/>
          <w:szCs w:val="20"/>
        </w:rPr>
        <w:t>Valores dos domínios médios e desvio padrão avaliados pelo SF-36 dos farmacêuticos que atuam nas drogarias do setor central em Gurupi - TO (n=11)</w:t>
      </w:r>
    </w:p>
    <w:p w:rsidR="006D0581" w:rsidRPr="005D1D3F" w:rsidRDefault="006D0581" w:rsidP="006D0581">
      <w:pPr>
        <w:autoSpaceDE w:val="0"/>
        <w:autoSpaceDN w:val="0"/>
        <w:adjustRightInd w:val="0"/>
        <w:rPr>
          <w:rFonts w:cs="Arial"/>
          <w:noProof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2039"/>
      </w:tblGrid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BFBFBF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51FA7">
              <w:rPr>
                <w:rFonts w:cs="Arial"/>
                <w:b/>
                <w:sz w:val="20"/>
                <w:szCs w:val="20"/>
              </w:rPr>
              <w:t>Domínio</w:t>
            </w:r>
          </w:p>
        </w:tc>
        <w:tc>
          <w:tcPr>
            <w:tcW w:w="2039" w:type="dxa"/>
            <w:shd w:val="clear" w:color="auto" w:fill="BFBFBF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451FA7">
              <w:rPr>
                <w:rFonts w:cs="Arial"/>
                <w:b/>
                <w:sz w:val="20"/>
                <w:szCs w:val="20"/>
              </w:rPr>
              <w:t>Raw</w:t>
            </w:r>
            <w:proofErr w:type="spellEnd"/>
            <w:r w:rsidRPr="00451FA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451FA7">
              <w:rPr>
                <w:rFonts w:cs="Arial"/>
                <w:b/>
                <w:sz w:val="20"/>
                <w:szCs w:val="20"/>
              </w:rPr>
              <w:t>Scale</w:t>
            </w:r>
            <w:proofErr w:type="spellEnd"/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Capacidade funcional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85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Limitação por aspectos físicos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90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Dor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71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Estado geral de saúde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81,5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Vitalidade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66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Aspectos sociais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78,7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Limitação por aspectos emocionais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86,7</w:t>
            </w:r>
          </w:p>
        </w:tc>
      </w:tr>
      <w:tr w:rsidR="006D0581" w:rsidRPr="00451FA7" w:rsidTr="0044041A">
        <w:trPr>
          <w:trHeight w:val="677"/>
          <w:jc w:val="center"/>
        </w:trPr>
        <w:tc>
          <w:tcPr>
            <w:tcW w:w="4556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 xml:space="preserve">Saúde mental </w:t>
            </w:r>
          </w:p>
        </w:tc>
        <w:tc>
          <w:tcPr>
            <w:tcW w:w="2039" w:type="dxa"/>
            <w:shd w:val="clear" w:color="auto" w:fill="auto"/>
          </w:tcPr>
          <w:p w:rsidR="006D0581" w:rsidRPr="00451FA7" w:rsidRDefault="006D0581" w:rsidP="0044041A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451FA7">
              <w:rPr>
                <w:rFonts w:cs="Arial"/>
                <w:sz w:val="20"/>
                <w:szCs w:val="20"/>
              </w:rPr>
              <w:t>72</w:t>
            </w:r>
          </w:p>
        </w:tc>
      </w:tr>
    </w:tbl>
    <w:p w:rsidR="006D0581" w:rsidRDefault="006D0581" w:rsidP="006D0581">
      <w:pPr>
        <w:rPr>
          <w:rFonts w:cs="Arial"/>
        </w:rPr>
      </w:pPr>
    </w:p>
    <w:p w:rsidR="006D0581" w:rsidRDefault="006D0581" w:rsidP="006D0581">
      <w:pPr>
        <w:spacing w:line="360" w:lineRule="auto"/>
        <w:ind w:firstLine="708"/>
        <w:rPr>
          <w:rFonts w:cs="Arial"/>
          <w:noProof/>
        </w:rPr>
      </w:pPr>
    </w:p>
    <w:p w:rsidR="006D0581" w:rsidRPr="00350C26" w:rsidRDefault="006D0581" w:rsidP="006D0581">
      <w:pPr>
        <w:spacing w:line="360" w:lineRule="auto"/>
        <w:ind w:firstLine="708"/>
        <w:rPr>
          <w:rFonts w:cs="Arial"/>
          <w:noProof/>
        </w:rPr>
      </w:pPr>
    </w:p>
    <w:p w:rsidR="006D0581" w:rsidRPr="00350C26" w:rsidRDefault="006D0581" w:rsidP="006D0581">
      <w:pPr>
        <w:spacing w:line="360" w:lineRule="auto"/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3528060" cy="2360295"/>
            <wp:effectExtent l="0" t="0" r="15240" b="2095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0581" w:rsidRPr="00350C26" w:rsidRDefault="006D0581" w:rsidP="006D0581">
      <w:pPr>
        <w:spacing w:line="360" w:lineRule="auto"/>
        <w:rPr>
          <w:rFonts w:cs="Arial"/>
          <w:noProof/>
          <w:sz w:val="20"/>
          <w:szCs w:val="20"/>
        </w:rPr>
      </w:pPr>
      <w:r w:rsidRPr="00350C26">
        <w:rPr>
          <w:rFonts w:cs="Arial"/>
          <w:b/>
          <w:noProof/>
          <w:sz w:val="20"/>
          <w:szCs w:val="20"/>
        </w:rPr>
        <w:t>Figura 1</w:t>
      </w:r>
      <w:r w:rsidRPr="00350C26">
        <w:rPr>
          <w:rFonts w:cs="Arial"/>
          <w:noProof/>
          <w:sz w:val="20"/>
          <w:szCs w:val="20"/>
        </w:rPr>
        <w:t xml:space="preserve">. Histograma da distribuição por faixa etaria dos Farmacêuticos entrevistados em Gurupi –TO. </w:t>
      </w:r>
    </w:p>
    <w:p w:rsidR="006D0581" w:rsidRPr="00350C26" w:rsidRDefault="006D0581" w:rsidP="006D0581">
      <w:pPr>
        <w:spacing w:line="360" w:lineRule="auto"/>
        <w:rPr>
          <w:rFonts w:cs="Arial"/>
          <w:noProof/>
        </w:rPr>
      </w:pPr>
    </w:p>
    <w:p w:rsidR="008263D7" w:rsidRDefault="008263D7"/>
    <w:p w:rsidR="006D0581" w:rsidRPr="00350C26" w:rsidRDefault="006D0581" w:rsidP="006D0581">
      <w:pPr>
        <w:jc w:val="center"/>
        <w:rPr>
          <w:rFonts w:cs="Arial"/>
          <w:noProof/>
        </w:rPr>
      </w:pPr>
      <w:r>
        <w:rPr>
          <w:rFonts w:cs="Arial"/>
          <w:noProof/>
        </w:rPr>
        <w:lastRenderedPageBreak/>
        <w:drawing>
          <wp:inline distT="0" distB="0" distL="0" distR="0">
            <wp:extent cx="4572000" cy="2997835"/>
            <wp:effectExtent l="0" t="0" r="0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0581" w:rsidRPr="00350C26" w:rsidRDefault="006D0581" w:rsidP="006D0581">
      <w:pPr>
        <w:rPr>
          <w:rFonts w:cs="Arial"/>
          <w:noProof/>
        </w:rPr>
      </w:pPr>
    </w:p>
    <w:p w:rsidR="006D0581" w:rsidRPr="00350C26" w:rsidRDefault="006D0581" w:rsidP="006D0581">
      <w:pPr>
        <w:spacing w:line="360" w:lineRule="auto"/>
        <w:rPr>
          <w:rFonts w:cs="Arial"/>
          <w:noProof/>
          <w:sz w:val="20"/>
          <w:szCs w:val="20"/>
        </w:rPr>
      </w:pPr>
      <w:r w:rsidRPr="00350C26">
        <w:rPr>
          <w:rFonts w:cs="Arial"/>
          <w:b/>
          <w:noProof/>
          <w:sz w:val="20"/>
          <w:szCs w:val="20"/>
        </w:rPr>
        <w:t xml:space="preserve">Figura </w:t>
      </w:r>
      <w:r w:rsidR="00012D43">
        <w:rPr>
          <w:rFonts w:cs="Arial"/>
          <w:b/>
          <w:noProof/>
          <w:sz w:val="20"/>
          <w:szCs w:val="20"/>
        </w:rPr>
        <w:t>2</w:t>
      </w:r>
      <w:r w:rsidRPr="00350C26">
        <w:rPr>
          <w:rFonts w:cs="Arial"/>
          <w:b/>
          <w:noProof/>
          <w:sz w:val="20"/>
          <w:szCs w:val="20"/>
        </w:rPr>
        <w:t>.</w:t>
      </w:r>
      <w:r w:rsidRPr="00350C26">
        <w:rPr>
          <w:rFonts w:cs="Arial"/>
          <w:noProof/>
          <w:sz w:val="20"/>
          <w:szCs w:val="20"/>
        </w:rPr>
        <w:t xml:space="preserve"> Histograma da distribuição por tempo de serviço dos Farmacêuticos entrevistados em Gurupi –TO. </w:t>
      </w:r>
    </w:p>
    <w:p w:rsidR="006D0581" w:rsidRDefault="006D0581" w:rsidP="006D0581">
      <w:pPr>
        <w:spacing w:line="360" w:lineRule="auto"/>
        <w:rPr>
          <w:rFonts w:cs="Arial"/>
        </w:rPr>
      </w:pPr>
    </w:p>
    <w:p w:rsidR="006D0581" w:rsidRDefault="006D0581" w:rsidP="006D0581">
      <w:pPr>
        <w:spacing w:line="360" w:lineRule="auto"/>
        <w:ind w:firstLine="708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721100" cy="2091055"/>
            <wp:effectExtent l="0" t="0" r="0" b="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0581" w:rsidRDefault="006D0581" w:rsidP="006D0581">
      <w:pPr>
        <w:spacing w:line="360" w:lineRule="auto"/>
        <w:rPr>
          <w:rFonts w:cs="Arial"/>
          <w:b/>
          <w:noProof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t xml:space="preserve">Figura </w:t>
      </w:r>
      <w:r w:rsidR="00012D43">
        <w:rPr>
          <w:rFonts w:cs="Arial"/>
          <w:b/>
          <w:noProof/>
          <w:sz w:val="20"/>
          <w:szCs w:val="20"/>
        </w:rPr>
        <w:t>3</w:t>
      </w:r>
      <w:r w:rsidRPr="001334D8">
        <w:rPr>
          <w:rFonts w:cs="Arial"/>
          <w:b/>
          <w:noProof/>
          <w:sz w:val="20"/>
          <w:szCs w:val="20"/>
        </w:rPr>
        <w:t xml:space="preserve">. </w:t>
      </w:r>
      <w:r>
        <w:rPr>
          <w:rFonts w:cs="Arial"/>
          <w:noProof/>
          <w:sz w:val="20"/>
          <w:szCs w:val="20"/>
        </w:rPr>
        <w:t>Autopercepção do estado de saúde atual atual com a saúde há um ano dos farmacêuticos que atuam em drograrias em Gurupi-</w:t>
      </w:r>
      <w:r w:rsidRPr="001334D8">
        <w:rPr>
          <w:rFonts w:cs="Arial"/>
          <w:noProof/>
          <w:sz w:val="20"/>
          <w:szCs w:val="20"/>
        </w:rPr>
        <w:t>TO</w:t>
      </w:r>
      <w:r>
        <w:rPr>
          <w:rFonts w:cs="Arial"/>
          <w:noProof/>
          <w:sz w:val="20"/>
          <w:szCs w:val="20"/>
        </w:rPr>
        <w:t xml:space="preserve"> (n=11, Desvio padrão: </w:t>
      </w:r>
      <w:r>
        <w:rPr>
          <w:rFonts w:cs="Arial"/>
          <w:sz w:val="20"/>
          <w:szCs w:val="20"/>
        </w:rPr>
        <w:t xml:space="preserve">0,93±0,96). </w:t>
      </w:r>
      <w:r>
        <w:rPr>
          <w:rFonts w:cs="Arial"/>
          <w:b/>
          <w:noProof/>
          <w:sz w:val="20"/>
          <w:szCs w:val="20"/>
        </w:rPr>
        <w:t xml:space="preserve"> </w:t>
      </w:r>
    </w:p>
    <w:p w:rsidR="006D0581" w:rsidRDefault="006D0581">
      <w:bookmarkStart w:id="0" w:name="_GoBack"/>
      <w:bookmarkEnd w:id="0"/>
    </w:p>
    <w:p w:rsidR="006D0581" w:rsidRDefault="006D0581"/>
    <w:sectPr w:rsidR="006D0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5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81"/>
    <w:rsid w:val="00012D43"/>
    <w:rsid w:val="00192981"/>
    <w:rsid w:val="006D0581"/>
    <w:rsid w:val="008263D7"/>
    <w:rsid w:val="00A30D01"/>
    <w:rsid w:val="00B52341"/>
    <w:rsid w:val="00D704BA"/>
    <w:rsid w:val="00F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05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58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05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5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Karin\UNIRG\Monografias%20orienta&#231;&#227;o\Jessika\Dado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Karin\UNIRG\Monografias%20orienta&#231;&#227;o\Jessika\Dado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Karin\UNIRG\Monografias%20orienta&#231;&#227;o\Jessika\Planilhas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 w="1270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 (54,5%)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 (27,2%)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 (18,1%)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Plan2!$A$5:$A$7</c:f>
              <c:strCache>
                <c:ptCount val="3"/>
                <c:pt idx="0">
                  <c:v>25-30 </c:v>
                </c:pt>
                <c:pt idx="1">
                  <c:v>36-45</c:v>
                </c:pt>
                <c:pt idx="2">
                  <c:v>46 ou mais </c:v>
                </c:pt>
              </c:strCache>
            </c:strRef>
          </c:cat>
          <c:val>
            <c:numRef>
              <c:f>Plan2!$B$5:$B$7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795328"/>
        <c:axId val="77908608"/>
      </c:barChart>
      <c:catAx>
        <c:axId val="77795328"/>
        <c:scaling>
          <c:orientation val="minMax"/>
        </c:scaling>
        <c:delete val="0"/>
        <c:axPos val="b"/>
        <c:majorTickMark val="out"/>
        <c:minorTickMark val="none"/>
        <c:tickLblPos val="nextTo"/>
        <c:crossAx val="77908608"/>
        <c:crosses val="autoZero"/>
        <c:auto val="1"/>
        <c:lblAlgn val="ctr"/>
        <c:lblOffset val="100"/>
        <c:noMultiLvlLbl val="0"/>
      </c:catAx>
      <c:valAx>
        <c:axId val="7790860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7779532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noFill/>
  </c:spPr>
  <c:txPr>
    <a:bodyPr/>
    <a:lstStyle/>
    <a:p>
      <a:pPr>
        <a:defRPr sz="1200" b="1">
          <a:latin typeface="Arial" pitchFamily="34" charset="0"/>
          <a:cs typeface="Arial" pitchFamily="34" charset="0"/>
        </a:defRPr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 w="1270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 (9%)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 (54%)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 (18%)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 (9%)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Plan2!$A$48:$A$51</c:f>
              <c:strCache>
                <c:ptCount val="4"/>
                <c:pt idx="0">
                  <c:v>Menos de um ano</c:v>
                </c:pt>
                <c:pt idx="1">
                  <c:v>1 a 5 anos</c:v>
                </c:pt>
                <c:pt idx="2">
                  <c:v>6 a 10 anos</c:v>
                </c:pt>
                <c:pt idx="3">
                  <c:v>11 anos ou mais</c:v>
                </c:pt>
              </c:strCache>
            </c:strRef>
          </c:cat>
          <c:val>
            <c:numRef>
              <c:f>Plan2!$B$48:$B$51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238336"/>
        <c:axId val="145103872"/>
      </c:barChart>
      <c:catAx>
        <c:axId val="1322383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5103872"/>
        <c:crosses val="autoZero"/>
        <c:auto val="1"/>
        <c:lblAlgn val="ctr"/>
        <c:lblOffset val="100"/>
        <c:noMultiLvlLbl val="0"/>
      </c:catAx>
      <c:valAx>
        <c:axId val="145103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223833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>
          <a:latin typeface="Arial" pitchFamily="34" charset="0"/>
          <a:cs typeface="Arial" pitchFamily="34" charset="0"/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 w="12700">
              <a:solidFill>
                <a:schemeClr val="tx1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'[Planilhas.xlsx]Ques 1 e 2'!$B$23:$E$23</c:f>
              <c:strCache>
                <c:ptCount val="4"/>
                <c:pt idx="0">
                  <c:v>Muito Melhor</c:v>
                </c:pt>
                <c:pt idx="1">
                  <c:v>Um Pouco Melhor</c:v>
                </c:pt>
                <c:pt idx="2">
                  <c:v>Quase a Mesma</c:v>
                </c:pt>
                <c:pt idx="3">
                  <c:v>Um Pouco Pior</c:v>
                </c:pt>
              </c:strCache>
            </c:strRef>
          </c:cat>
          <c:val>
            <c:numRef>
              <c:f>'[Planilhas.xlsx]Ques 1 e 2'!$B$24:$E$24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10176"/>
        <c:axId val="151412096"/>
      </c:barChart>
      <c:catAx>
        <c:axId val="151410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1412096"/>
        <c:crosses val="autoZero"/>
        <c:auto val="1"/>
        <c:lblAlgn val="ctr"/>
        <c:lblOffset val="100"/>
        <c:noMultiLvlLbl val="0"/>
      </c:catAx>
      <c:valAx>
        <c:axId val="1514120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14101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2017-02-16T16:34:00Z</dcterms:created>
  <dcterms:modified xsi:type="dcterms:W3CDTF">2017-02-17T00:05:00Z</dcterms:modified>
</cp:coreProperties>
</file>