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1EB53C06" w:rsidR="001E5C32" w:rsidRDefault="00DA00A0"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6F596B4E">
            <wp:simplePos x="0" y="0"/>
            <wp:positionH relativeFrom="margin">
              <wp:posOffset>4500496</wp:posOffset>
            </wp:positionH>
            <wp:positionV relativeFrom="paragraph">
              <wp:posOffset>-1090236</wp:posOffset>
            </wp:positionV>
            <wp:extent cx="2236364" cy="1297172"/>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21250"/>
                    <a:stretch/>
                  </pic:blipFill>
                  <pic:spPr bwMode="auto">
                    <a:xfrm>
                      <a:off x="0" y="0"/>
                      <a:ext cx="2237105" cy="12976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9B3BF4" w14:textId="787DADCD" w:rsidR="00920B83" w:rsidRDefault="007708C5" w:rsidP="002F00AA">
      <w:pPr>
        <w:spacing w:before="240" w:after="240"/>
        <w:jc w:val="center"/>
        <w:rPr>
          <w:rFonts w:ascii="Arial" w:hAnsi="Arial" w:cs="Arial"/>
          <w:i/>
          <w:color w:val="1F497D" w:themeColor="text2"/>
          <w:szCs w:val="28"/>
          <w:lang w:val="en-US"/>
        </w:rPr>
      </w:pPr>
      <w:r w:rsidRPr="00BE2450">
        <w:rPr>
          <w:rFonts w:ascii="Arial" w:hAnsi="Arial" w:cs="Arial"/>
          <w:b/>
          <w:bCs/>
          <w:color w:val="1F497D" w:themeColor="text2"/>
          <w:szCs w:val="28"/>
        </w:rPr>
        <w:t>Mortalidade por distúrbios endócrinos, metabólicos e nutricionais nos últimos 15 anos: uma análise epidemiológica</w:t>
      </w:r>
    </w:p>
    <w:p w14:paraId="6F427A35" w14:textId="470FE88A" w:rsidR="002F00AA" w:rsidRPr="003A6BDF" w:rsidRDefault="00111874" w:rsidP="002F00AA">
      <w:pPr>
        <w:spacing w:before="240" w:after="240"/>
        <w:jc w:val="center"/>
        <w:rPr>
          <w:rFonts w:ascii="Arial" w:hAnsi="Arial" w:cs="Arial"/>
          <w:i/>
          <w:color w:val="1F497D" w:themeColor="text2"/>
          <w:szCs w:val="28"/>
          <w:lang w:val="en-US"/>
        </w:rPr>
      </w:pPr>
      <w:r w:rsidRPr="00111874">
        <w:rPr>
          <w:rFonts w:ascii="Arial" w:hAnsi="Arial" w:cs="Arial"/>
          <w:i/>
          <w:color w:val="1F497D" w:themeColor="text2"/>
          <w:szCs w:val="28"/>
          <w:lang w:val="en-US"/>
        </w:rPr>
        <w:t>Mortality from endocrine, metabolic, and nutritional disorders over the past 15 years: an epidemiological analysis</w:t>
      </w:r>
    </w:p>
    <w:p w14:paraId="35CEFD9C" w14:textId="425AFCA6" w:rsidR="00DD6B14" w:rsidRDefault="002E36DB" w:rsidP="00920B83">
      <w:pPr>
        <w:ind w:left="-426"/>
        <w:jc w:val="center"/>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5A5C5C30">
                <wp:simplePos x="0" y="0"/>
                <wp:positionH relativeFrom="margin">
                  <wp:posOffset>5033010</wp:posOffset>
                </wp:positionH>
                <wp:positionV relativeFrom="margin">
                  <wp:posOffset>1336675</wp:posOffset>
                </wp:positionV>
                <wp:extent cx="1802765" cy="7096125"/>
                <wp:effectExtent l="0" t="133350" r="235585" b="28575"/>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7096125"/>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786DAF8E" w14:textId="5E0A31FC" w:rsidR="00F43BAD" w:rsidRPr="003A6BDF" w:rsidRDefault="00F43BAD" w:rsidP="002F00AA">
                            <w:pPr>
                              <w:spacing w:after="120"/>
                              <w:ind w:left="-284" w:right="-352"/>
                              <w:jc w:val="both"/>
                              <w:rPr>
                                <w:rFonts w:ascii="Arial" w:hAnsi="Arial" w:cs="Arial"/>
                                <w:b/>
                                <w:color w:val="FFFFFF" w:themeColor="background1"/>
                                <w:sz w:val="16"/>
                                <w:szCs w:val="16"/>
                                <w:lang w:val="en-US"/>
                              </w:rPr>
                            </w:pPr>
                            <w:r w:rsidRPr="00111874">
                              <w:rPr>
                                <w:rFonts w:ascii="Arial" w:hAnsi="Arial" w:cs="Arial"/>
                                <w:b/>
                                <w:color w:val="FFFFFF" w:themeColor="background1"/>
                                <w:sz w:val="16"/>
                                <w:szCs w:val="16"/>
                              </w:rPr>
                              <w:t>1</w:t>
                            </w:r>
                            <w:r w:rsidR="00111874">
                              <w:rPr>
                                <w:rFonts w:ascii="Arial" w:hAnsi="Arial" w:cs="Arial"/>
                                <w:b/>
                                <w:color w:val="FFFFFF" w:themeColor="background1"/>
                                <w:sz w:val="16"/>
                                <w:szCs w:val="16"/>
                              </w:rPr>
                              <w:t xml:space="preserve">. </w:t>
                            </w:r>
                            <w:r w:rsidR="007708C5" w:rsidRPr="007708C5">
                              <w:rPr>
                                <w:rFonts w:ascii="Arial" w:hAnsi="Arial" w:cs="Arial"/>
                                <w:b/>
                                <w:color w:val="FFFFFF" w:themeColor="background1"/>
                                <w:sz w:val="16"/>
                                <w:szCs w:val="16"/>
                              </w:rPr>
                              <w:t xml:space="preserve">Graduando em Medicina pela Universidade de Gurupi (UnirG). </w:t>
                            </w:r>
                            <w:r w:rsidR="007708C5" w:rsidRPr="003A6BDF">
                              <w:rPr>
                                <w:rFonts w:ascii="Arial" w:hAnsi="Arial" w:cs="Arial"/>
                                <w:b/>
                                <w:color w:val="FFFFFF" w:themeColor="background1"/>
                                <w:sz w:val="16"/>
                                <w:szCs w:val="16"/>
                                <w:lang w:val="en-US"/>
                              </w:rPr>
                              <w:t>ORCID: https://orcid.org/0009-0002-9076-3863.</w:t>
                            </w:r>
                            <w:r w:rsidR="002F00AA">
                              <w:rPr>
                                <w:rFonts w:ascii="Arial" w:hAnsi="Arial" w:cs="Arial"/>
                                <w:b/>
                                <w:color w:val="FFFFFF" w:themeColor="background1"/>
                                <w:sz w:val="16"/>
                                <w:szCs w:val="16"/>
                                <w:lang w:val="en-US"/>
                              </w:rPr>
                              <w:t xml:space="preserve"> </w:t>
                            </w:r>
                            <w:r w:rsidRPr="003A6BDF">
                              <w:rPr>
                                <w:rFonts w:ascii="Arial" w:hAnsi="Arial" w:cs="Arial"/>
                                <w:b/>
                                <w:color w:val="FFFFFF" w:themeColor="background1"/>
                                <w:sz w:val="16"/>
                                <w:szCs w:val="16"/>
                                <w:lang w:val="en-US"/>
                              </w:rPr>
                              <w:t>E-mail:</w:t>
                            </w:r>
                            <w:r w:rsidR="002F00AA">
                              <w:rPr>
                                <w:lang w:val="en-US"/>
                              </w:rPr>
                              <w:t xml:space="preserve"> </w:t>
                            </w:r>
                            <w:r w:rsidR="007708C5" w:rsidRPr="003A6BDF">
                              <w:rPr>
                                <w:rFonts w:ascii="Arial" w:hAnsi="Arial" w:cs="Arial"/>
                                <w:b/>
                                <w:color w:val="FFFFFF" w:themeColor="background1"/>
                                <w:sz w:val="16"/>
                                <w:szCs w:val="16"/>
                                <w:lang w:val="en-US"/>
                              </w:rPr>
                              <w:t>davibezerra.66@hotmail.com</w:t>
                            </w:r>
                            <w:r w:rsidR="00111874">
                              <w:rPr>
                                <w:rFonts w:ascii="Arial" w:hAnsi="Arial" w:cs="Arial"/>
                                <w:b/>
                                <w:color w:val="FFFFFF" w:themeColor="background1"/>
                                <w:sz w:val="16"/>
                                <w:szCs w:val="16"/>
                                <w:lang w:val="en-US"/>
                              </w:rPr>
                              <w:t>.</w:t>
                            </w:r>
                          </w:p>
                          <w:p w14:paraId="22F4C2F7" w14:textId="6460DAF0" w:rsidR="00F43BAD" w:rsidRPr="00787B27" w:rsidRDefault="00F43BAD"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2</w:t>
                            </w:r>
                            <w:r w:rsidR="00111874">
                              <w:rPr>
                                <w:rFonts w:ascii="Arial" w:hAnsi="Arial" w:cs="Arial"/>
                                <w:b/>
                                <w:color w:val="FFFFFF" w:themeColor="background1"/>
                                <w:sz w:val="16"/>
                                <w:szCs w:val="16"/>
                              </w:rPr>
                              <w:t xml:space="preserve">. </w:t>
                            </w:r>
                            <w:r w:rsidR="007708C5" w:rsidRPr="007708C5">
                              <w:rPr>
                                <w:rFonts w:ascii="Arial" w:hAnsi="Arial" w:cs="Arial"/>
                                <w:b/>
                                <w:color w:val="FFFFFF" w:themeColor="background1"/>
                                <w:sz w:val="16"/>
                                <w:szCs w:val="16"/>
                              </w:rPr>
                              <w:t>Docente pela Universidade Estadual de Goiás (UEG) e Médica pela Universidade de Gurupi (UnirG).</w:t>
                            </w:r>
                            <w:r w:rsidR="002F00AA">
                              <w:rPr>
                                <w:rFonts w:ascii="Arial" w:hAnsi="Arial" w:cs="Arial"/>
                                <w:b/>
                                <w:color w:val="FFFFFF" w:themeColor="background1"/>
                                <w:sz w:val="16"/>
                                <w:szCs w:val="16"/>
                              </w:rPr>
                              <w:t xml:space="preserve"> </w:t>
                            </w:r>
                            <w:r w:rsidR="007708C5" w:rsidRPr="007708C5">
                              <w:rPr>
                                <w:rFonts w:ascii="Arial" w:hAnsi="Arial" w:cs="Arial"/>
                                <w:b/>
                                <w:color w:val="FFFFFF" w:themeColor="background1"/>
                                <w:sz w:val="16"/>
                                <w:szCs w:val="16"/>
                              </w:rPr>
                              <w:t>ORCID:</w:t>
                            </w:r>
                            <w:r w:rsidR="002F00AA">
                              <w:rPr>
                                <w:rFonts w:ascii="Arial" w:hAnsi="Arial" w:cs="Arial"/>
                                <w:b/>
                                <w:color w:val="FFFFFF" w:themeColor="background1"/>
                                <w:sz w:val="16"/>
                                <w:szCs w:val="16"/>
                              </w:rPr>
                              <w:t xml:space="preserve"> </w:t>
                            </w:r>
                            <w:r w:rsidR="007708C5" w:rsidRPr="007708C5">
                              <w:rPr>
                                <w:rFonts w:ascii="Arial" w:hAnsi="Arial" w:cs="Arial"/>
                                <w:b/>
                                <w:color w:val="FFFFFF" w:themeColor="background1"/>
                                <w:sz w:val="16"/>
                                <w:szCs w:val="16"/>
                              </w:rPr>
                              <w:t>https://orcid.org/0000-0003-1270-1608</w:t>
                            </w:r>
                            <w:r w:rsidR="002F00AA">
                              <w:rPr>
                                <w:rFonts w:ascii="Arial" w:hAnsi="Arial" w:cs="Arial"/>
                                <w:b/>
                                <w:color w:val="FFFFFF" w:themeColor="background1"/>
                                <w:sz w:val="16"/>
                                <w:szCs w:val="16"/>
                              </w:rPr>
                              <w:t>.</w:t>
                            </w:r>
                            <w:r w:rsidRPr="00787B27">
                              <w:rPr>
                                <w:rFonts w:ascii="Arial" w:hAnsi="Arial" w:cs="Arial"/>
                                <w:b/>
                                <w:color w:val="FFFFFF" w:themeColor="background1"/>
                                <w:sz w:val="16"/>
                                <w:szCs w:val="16"/>
                              </w:rPr>
                              <w:t xml:space="preserve"> </w:t>
                            </w:r>
                          </w:p>
                          <w:p w14:paraId="22E83242" w14:textId="69805718" w:rsidR="00F43BAD" w:rsidRPr="00787B27" w:rsidRDefault="00111874"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3.</w:t>
                            </w:r>
                            <w:r>
                              <w:rPr>
                                <w:rFonts w:ascii="Arial" w:hAnsi="Arial" w:cs="Arial"/>
                                <w:b/>
                                <w:color w:val="FFFFFF" w:themeColor="background1"/>
                                <w:sz w:val="16"/>
                                <w:szCs w:val="16"/>
                                <w:vertAlign w:val="superscript"/>
                              </w:rPr>
                              <w:t xml:space="preserve"> </w:t>
                            </w:r>
                            <w:r w:rsidR="007F3A53">
                              <w:rPr>
                                <w:rFonts w:ascii="Arial" w:hAnsi="Arial" w:cs="Arial"/>
                                <w:b/>
                                <w:color w:val="FFFFFF" w:themeColor="background1"/>
                                <w:sz w:val="16"/>
                                <w:szCs w:val="16"/>
                              </w:rPr>
                              <w:t>Docente em Química pela Universidade Federal do Mato Grosso (UFMT) e Médica pela Universidade de Gurupi (Unir</w:t>
                            </w:r>
                            <w:r w:rsidR="00430297">
                              <w:rPr>
                                <w:rFonts w:ascii="Arial" w:hAnsi="Arial" w:cs="Arial"/>
                                <w:b/>
                                <w:color w:val="FFFFFF" w:themeColor="background1"/>
                                <w:sz w:val="16"/>
                                <w:szCs w:val="16"/>
                              </w:rPr>
                              <w:t>G</w:t>
                            </w:r>
                            <w:r w:rsidR="007F3A53">
                              <w:rPr>
                                <w:rFonts w:ascii="Arial" w:hAnsi="Arial" w:cs="Arial"/>
                                <w:b/>
                                <w:color w:val="FFFFFF" w:themeColor="background1"/>
                                <w:sz w:val="16"/>
                                <w:szCs w:val="16"/>
                              </w:rPr>
                              <w:t xml:space="preserve">) </w:t>
                            </w:r>
                            <w:r w:rsidR="007F3A53" w:rsidRPr="007F3A53">
                              <w:rPr>
                                <w:rFonts w:ascii="Arial" w:hAnsi="Arial" w:cs="Arial"/>
                                <w:b/>
                                <w:color w:val="FFFFFF" w:themeColor="background1"/>
                                <w:sz w:val="16"/>
                                <w:szCs w:val="16"/>
                              </w:rPr>
                              <w:t>ORCID: https://orcid.org/</w:t>
                            </w:r>
                            <w:r w:rsidR="007F3A53" w:rsidRPr="007F3A53">
                              <w:t xml:space="preserve"> </w:t>
                            </w:r>
                            <w:r w:rsidR="007F3A53" w:rsidRPr="007F3A53">
                              <w:rPr>
                                <w:rFonts w:ascii="Arial" w:hAnsi="Arial" w:cs="Arial"/>
                                <w:b/>
                                <w:color w:val="FFFFFF" w:themeColor="background1"/>
                                <w:sz w:val="16"/>
                                <w:szCs w:val="16"/>
                              </w:rPr>
                              <w:t>0000-0002-6459-4317</w:t>
                            </w:r>
                            <w:r w:rsidR="002F00AA">
                              <w:rPr>
                                <w:rFonts w:ascii="Arial" w:hAnsi="Arial" w:cs="Arial"/>
                                <w:b/>
                                <w:color w:val="FFFFFF" w:themeColor="background1"/>
                                <w:sz w:val="16"/>
                                <w:szCs w:val="16"/>
                              </w:rPr>
                              <w:t>.</w:t>
                            </w:r>
                          </w:p>
                          <w:p w14:paraId="40DCCE1E" w14:textId="4C291A01" w:rsidR="00F43BAD" w:rsidRPr="00787B27" w:rsidRDefault="00F43BAD"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4</w:t>
                            </w:r>
                            <w:r w:rsidR="00111874">
                              <w:rPr>
                                <w:rFonts w:ascii="Arial" w:hAnsi="Arial" w:cs="Arial"/>
                                <w:b/>
                                <w:color w:val="FFFFFF" w:themeColor="background1"/>
                                <w:sz w:val="16"/>
                                <w:szCs w:val="16"/>
                              </w:rPr>
                              <w:t xml:space="preserve">. </w:t>
                            </w:r>
                            <w:r w:rsidR="003A6BDF">
                              <w:rPr>
                                <w:rFonts w:ascii="Arial" w:hAnsi="Arial" w:cs="Arial"/>
                                <w:b/>
                                <w:color w:val="FFFFFF" w:themeColor="background1"/>
                                <w:sz w:val="16"/>
                                <w:szCs w:val="16"/>
                              </w:rPr>
                              <w:t>Biomédica pela Pontifícia Universidade Ca</w:t>
                            </w:r>
                            <w:r w:rsidR="00430297">
                              <w:rPr>
                                <w:rFonts w:ascii="Arial" w:hAnsi="Arial" w:cs="Arial"/>
                                <w:b/>
                                <w:color w:val="FFFFFF" w:themeColor="background1"/>
                                <w:sz w:val="16"/>
                                <w:szCs w:val="16"/>
                              </w:rPr>
                              <w:t>t</w:t>
                            </w:r>
                            <w:r w:rsidR="003A6BDF">
                              <w:rPr>
                                <w:rFonts w:ascii="Arial" w:hAnsi="Arial" w:cs="Arial"/>
                                <w:b/>
                                <w:color w:val="FFFFFF" w:themeColor="background1"/>
                                <w:sz w:val="16"/>
                                <w:szCs w:val="16"/>
                              </w:rPr>
                              <w:t xml:space="preserve">ólica de Goiás (PUC-GO) e </w:t>
                            </w:r>
                            <w:r w:rsidR="007F3A53" w:rsidRPr="007F3A53">
                              <w:rPr>
                                <w:rFonts w:ascii="Arial" w:hAnsi="Arial" w:cs="Arial"/>
                                <w:b/>
                                <w:color w:val="FFFFFF" w:themeColor="background1"/>
                                <w:sz w:val="16"/>
                                <w:szCs w:val="16"/>
                              </w:rPr>
                              <w:t>Médica pela Universidade de Gurupi (UnirG). ORCID: https://orcid.org/0000-0002-4487-3917</w:t>
                            </w:r>
                            <w:r w:rsidRPr="00787B27">
                              <w:rPr>
                                <w:rFonts w:ascii="Arial" w:hAnsi="Arial" w:cs="Arial"/>
                                <w:b/>
                                <w:color w:val="FFFFFF" w:themeColor="background1"/>
                                <w:sz w:val="16"/>
                                <w:szCs w:val="16"/>
                              </w:rPr>
                              <w:t xml:space="preserve"> </w:t>
                            </w:r>
                            <w:r w:rsidR="002F00AA">
                              <w:rPr>
                                <w:rFonts w:ascii="Arial" w:hAnsi="Arial" w:cs="Arial"/>
                                <w:b/>
                                <w:color w:val="FFFFFF" w:themeColor="background1"/>
                                <w:sz w:val="16"/>
                                <w:szCs w:val="16"/>
                              </w:rPr>
                              <w:t>.</w:t>
                            </w:r>
                          </w:p>
                          <w:p w14:paraId="71DC1AF4" w14:textId="6A27C553" w:rsidR="00F43BAD" w:rsidRDefault="007F3A53"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5</w:t>
                            </w:r>
                            <w:r w:rsidR="00111874">
                              <w:rPr>
                                <w:rFonts w:ascii="Arial" w:hAnsi="Arial" w:cs="Arial"/>
                                <w:b/>
                                <w:color w:val="FFFFFF" w:themeColor="background1"/>
                                <w:sz w:val="16"/>
                                <w:szCs w:val="16"/>
                              </w:rPr>
                              <w:t xml:space="preserve">. </w:t>
                            </w:r>
                            <w:r w:rsidRPr="007F3A53">
                              <w:rPr>
                                <w:rFonts w:ascii="Arial" w:hAnsi="Arial" w:cs="Arial"/>
                                <w:b/>
                                <w:color w:val="FFFFFF" w:themeColor="background1"/>
                                <w:sz w:val="16"/>
                                <w:szCs w:val="16"/>
                              </w:rPr>
                              <w:t>Médica pela Universidade de Gurupi (Unir</w:t>
                            </w:r>
                            <w:r w:rsidR="00430297">
                              <w:rPr>
                                <w:rFonts w:ascii="Arial" w:hAnsi="Arial" w:cs="Arial"/>
                                <w:b/>
                                <w:color w:val="FFFFFF" w:themeColor="background1"/>
                                <w:sz w:val="16"/>
                                <w:szCs w:val="16"/>
                              </w:rPr>
                              <w:t>G</w:t>
                            </w:r>
                            <w:r w:rsidRPr="007F3A53">
                              <w:rPr>
                                <w:rFonts w:ascii="Arial" w:hAnsi="Arial" w:cs="Arial"/>
                                <w:b/>
                                <w:color w:val="FFFFFF" w:themeColor="background1"/>
                                <w:sz w:val="16"/>
                                <w:szCs w:val="16"/>
                              </w:rPr>
                              <w:t>). ORCID: https://orcid.org/0000-0002-8462-1490</w:t>
                            </w:r>
                            <w:r w:rsidR="002F00AA">
                              <w:rPr>
                                <w:rFonts w:ascii="Arial" w:hAnsi="Arial" w:cs="Arial"/>
                                <w:b/>
                                <w:color w:val="FFFFFF" w:themeColor="background1"/>
                                <w:sz w:val="16"/>
                                <w:szCs w:val="16"/>
                              </w:rPr>
                              <w:t>.</w:t>
                            </w:r>
                            <w:r w:rsidR="00F43BAD" w:rsidRPr="00787B27">
                              <w:rPr>
                                <w:rFonts w:ascii="Arial" w:hAnsi="Arial" w:cs="Arial"/>
                                <w:b/>
                                <w:color w:val="FFFFFF" w:themeColor="background1"/>
                                <w:sz w:val="16"/>
                                <w:szCs w:val="16"/>
                              </w:rPr>
                              <w:t xml:space="preserve"> </w:t>
                            </w:r>
                          </w:p>
                          <w:p w14:paraId="7D6ABA1B" w14:textId="2418949E" w:rsidR="007F3A53" w:rsidRDefault="00111874" w:rsidP="002F00AA">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rPr>
                              <w:t>6.</w:t>
                            </w:r>
                            <w:r w:rsidR="007F3A53" w:rsidRPr="00111874">
                              <w:rPr>
                                <w:rFonts w:ascii="Arial" w:hAnsi="Arial" w:cs="Arial"/>
                                <w:b/>
                                <w:color w:val="FFFFFF" w:themeColor="background1"/>
                                <w:sz w:val="16"/>
                                <w:szCs w:val="16"/>
                              </w:rPr>
                              <w:t xml:space="preserve"> </w:t>
                            </w:r>
                            <w:r w:rsidR="007F3A53" w:rsidRPr="007F3A53">
                              <w:rPr>
                                <w:rFonts w:ascii="Arial" w:hAnsi="Arial" w:cs="Arial"/>
                                <w:b/>
                                <w:color w:val="FFFFFF" w:themeColor="background1"/>
                                <w:sz w:val="16"/>
                                <w:szCs w:val="16"/>
                              </w:rPr>
                              <w:t>Médica pela Universidade de Gurupi (UnirG). ORCID: https://orcid.org/0000-0001-8245-5946.</w:t>
                            </w:r>
                          </w:p>
                          <w:p w14:paraId="0272A55C" w14:textId="4D835D24" w:rsidR="007F3A53" w:rsidRDefault="007F3A53"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7</w:t>
                            </w:r>
                            <w:r w:rsidR="00111874">
                              <w:rPr>
                                <w:rFonts w:ascii="Arial" w:hAnsi="Arial" w:cs="Arial"/>
                                <w:b/>
                                <w:color w:val="FFFFFF" w:themeColor="background1"/>
                                <w:sz w:val="16"/>
                                <w:szCs w:val="16"/>
                              </w:rPr>
                              <w:t xml:space="preserve">. </w:t>
                            </w:r>
                            <w:r w:rsidRPr="007F3A53">
                              <w:rPr>
                                <w:rFonts w:ascii="Arial" w:hAnsi="Arial" w:cs="Arial"/>
                                <w:b/>
                                <w:color w:val="FFFFFF" w:themeColor="background1"/>
                                <w:sz w:val="16"/>
                                <w:szCs w:val="16"/>
                              </w:rPr>
                              <w:t>Médica pela Universidade de Gurupi (Unir</w:t>
                            </w:r>
                            <w:r w:rsidR="00430297">
                              <w:rPr>
                                <w:rFonts w:ascii="Arial" w:hAnsi="Arial" w:cs="Arial"/>
                                <w:b/>
                                <w:color w:val="FFFFFF" w:themeColor="background1"/>
                                <w:sz w:val="16"/>
                                <w:szCs w:val="16"/>
                              </w:rPr>
                              <w:t>G</w:t>
                            </w:r>
                            <w:r w:rsidR="00EF4394">
                              <w:rPr>
                                <w:rFonts w:ascii="Arial" w:hAnsi="Arial" w:cs="Arial"/>
                                <w:b/>
                                <w:color w:val="FFFFFF" w:themeColor="background1"/>
                                <w:sz w:val="16"/>
                                <w:szCs w:val="16"/>
                              </w:rPr>
                              <w:t>)</w:t>
                            </w:r>
                            <w:r w:rsidRPr="007F3A53">
                              <w:rPr>
                                <w:rFonts w:ascii="Arial" w:hAnsi="Arial" w:cs="Arial"/>
                                <w:b/>
                                <w:color w:val="FFFFFF" w:themeColor="background1"/>
                                <w:sz w:val="16"/>
                                <w:szCs w:val="16"/>
                              </w:rPr>
                              <w:t>. ORCID: https://orcid.org/0000-0003-4264-8297.</w:t>
                            </w:r>
                          </w:p>
                          <w:p w14:paraId="3C081693" w14:textId="41061183" w:rsidR="007F3A53" w:rsidRDefault="007F3A53"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8</w:t>
                            </w:r>
                            <w:r w:rsidR="00111874">
                              <w:rPr>
                                <w:rFonts w:ascii="Arial" w:hAnsi="Arial" w:cs="Arial"/>
                                <w:b/>
                                <w:color w:val="FFFFFF" w:themeColor="background1"/>
                                <w:sz w:val="16"/>
                                <w:szCs w:val="16"/>
                              </w:rPr>
                              <w:t xml:space="preserve">. </w:t>
                            </w:r>
                            <w:r w:rsidRPr="007F3A53">
                              <w:rPr>
                                <w:rFonts w:ascii="Arial" w:hAnsi="Arial" w:cs="Arial"/>
                                <w:b/>
                                <w:color w:val="FFFFFF" w:themeColor="background1"/>
                                <w:sz w:val="16"/>
                                <w:szCs w:val="16"/>
                              </w:rPr>
                              <w:t>Docente em Fisioterapia e Medicina pela Universidade de Gurupi (UnirG), Mestre em Ciências da Saúde (Universidade Federal do Tocantins, UFT-Palmas/TO) e Fisioterapeuta (Faculdades Integradas de Santa Fé do Sul, FUNEC/FISA-SP). ORCID: https://orcid.org/0000-0002-0585-0624</w:t>
                            </w:r>
                            <w:r w:rsidR="002F00AA">
                              <w:rPr>
                                <w:rFonts w:ascii="Arial" w:hAnsi="Arial" w:cs="Arial"/>
                                <w:b/>
                                <w:color w:val="FFFFFF" w:themeColor="background1"/>
                                <w:sz w:val="16"/>
                                <w:szCs w:val="16"/>
                              </w:rPr>
                              <w:t>.</w:t>
                            </w:r>
                          </w:p>
                          <w:p w14:paraId="11282381" w14:textId="77777777" w:rsidR="007F3A53" w:rsidRDefault="007F3A53" w:rsidP="002F00AA">
                            <w:pPr>
                              <w:spacing w:after="240"/>
                              <w:ind w:left="-284" w:right="-352"/>
                              <w:jc w:val="both"/>
                              <w:rPr>
                                <w:rFonts w:ascii="Arial" w:hAnsi="Arial" w:cs="Arial"/>
                                <w:b/>
                                <w:color w:val="FFFFFF" w:themeColor="background1"/>
                                <w:sz w:val="16"/>
                                <w:szCs w:val="16"/>
                              </w:rPr>
                            </w:pPr>
                          </w:p>
                          <w:p w14:paraId="75D81356" w14:textId="77777777" w:rsidR="007F3A53" w:rsidRDefault="007F3A53" w:rsidP="00AE3EE8">
                            <w:pPr>
                              <w:spacing w:after="240"/>
                              <w:ind w:left="-284" w:right="-352"/>
                              <w:rPr>
                                <w:rFonts w:ascii="Arial" w:hAnsi="Arial" w:cs="Arial"/>
                                <w:b/>
                                <w:color w:val="FFFFFF" w:themeColor="background1"/>
                                <w:sz w:val="16"/>
                                <w:szCs w:val="16"/>
                              </w:rPr>
                            </w:pPr>
                          </w:p>
                          <w:p w14:paraId="2402FC7A" w14:textId="77777777" w:rsidR="00F43BAD" w:rsidRDefault="00F43BAD" w:rsidP="00AE3EE8">
                            <w:pPr>
                              <w:spacing w:after="240"/>
                              <w:ind w:left="-284" w:right="-352"/>
                              <w:rPr>
                                <w:rFonts w:ascii="Arial" w:hAnsi="Arial" w:cs="Arial"/>
                                <w:b/>
                                <w:color w:val="FFFFFF" w:themeColor="background1"/>
                                <w:sz w:val="16"/>
                                <w:szCs w:val="16"/>
                              </w:rPr>
                            </w:pPr>
                          </w:p>
                          <w:p w14:paraId="0F17D782" w14:textId="77777777" w:rsidR="00F43BAD" w:rsidRDefault="00F43BAD"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3pt;margin-top:105.25pt;width:141.95pt;height:55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" o:allowincell="f" fillcolor="#4f81bd [3204]" strokecolor="#4f81bd">
                <v:shadow on="t" type="perspective" color="#bfbfbf" opacity=".5" origin="-.5,-.5" offset="51pt,-10pt" matrix=".75,,,.75"/>
                <v:textbox inset="18pt,18pt,18pt,18pt">
                  <w:txbxContent>
                    <w:p w14:paraId="786DAF8E" w14:textId="5E0A31FC" w:rsidR="00F43BAD" w:rsidRPr="003A6BDF" w:rsidRDefault="00F43BAD" w:rsidP="002F00AA">
                      <w:pPr>
                        <w:spacing w:after="120"/>
                        <w:ind w:left="-284" w:right="-352"/>
                        <w:jc w:val="both"/>
                        <w:rPr>
                          <w:rFonts w:ascii="Arial" w:hAnsi="Arial" w:cs="Arial"/>
                          <w:b/>
                          <w:color w:val="FFFFFF" w:themeColor="background1"/>
                          <w:sz w:val="16"/>
                          <w:szCs w:val="16"/>
                          <w:lang w:val="en-US"/>
                        </w:rPr>
                      </w:pPr>
                      <w:r w:rsidRPr="00111874">
                        <w:rPr>
                          <w:rFonts w:ascii="Arial" w:hAnsi="Arial" w:cs="Arial"/>
                          <w:b/>
                          <w:color w:val="FFFFFF" w:themeColor="background1"/>
                          <w:sz w:val="16"/>
                          <w:szCs w:val="16"/>
                        </w:rPr>
                        <w:t>1</w:t>
                      </w:r>
                      <w:r w:rsidR="00111874">
                        <w:rPr>
                          <w:rFonts w:ascii="Arial" w:hAnsi="Arial" w:cs="Arial"/>
                          <w:b/>
                          <w:color w:val="FFFFFF" w:themeColor="background1"/>
                          <w:sz w:val="16"/>
                          <w:szCs w:val="16"/>
                        </w:rPr>
                        <w:t xml:space="preserve">. </w:t>
                      </w:r>
                      <w:r w:rsidR="007708C5" w:rsidRPr="007708C5">
                        <w:rPr>
                          <w:rFonts w:ascii="Arial" w:hAnsi="Arial" w:cs="Arial"/>
                          <w:b/>
                          <w:color w:val="FFFFFF" w:themeColor="background1"/>
                          <w:sz w:val="16"/>
                          <w:szCs w:val="16"/>
                        </w:rPr>
                        <w:t xml:space="preserve">Graduando em Medicina pela Universidade de Gurupi (UnirG). </w:t>
                      </w:r>
                      <w:r w:rsidR="007708C5" w:rsidRPr="003A6BDF">
                        <w:rPr>
                          <w:rFonts w:ascii="Arial" w:hAnsi="Arial" w:cs="Arial"/>
                          <w:b/>
                          <w:color w:val="FFFFFF" w:themeColor="background1"/>
                          <w:sz w:val="16"/>
                          <w:szCs w:val="16"/>
                          <w:lang w:val="en-US"/>
                        </w:rPr>
                        <w:t>ORCID: https://orcid.org/0009-0002-9076-3863.</w:t>
                      </w:r>
                      <w:r w:rsidR="002F00AA">
                        <w:rPr>
                          <w:rFonts w:ascii="Arial" w:hAnsi="Arial" w:cs="Arial"/>
                          <w:b/>
                          <w:color w:val="FFFFFF" w:themeColor="background1"/>
                          <w:sz w:val="16"/>
                          <w:szCs w:val="16"/>
                          <w:lang w:val="en-US"/>
                        </w:rPr>
                        <w:t xml:space="preserve"> </w:t>
                      </w:r>
                      <w:r w:rsidRPr="003A6BDF">
                        <w:rPr>
                          <w:rFonts w:ascii="Arial" w:hAnsi="Arial" w:cs="Arial"/>
                          <w:b/>
                          <w:color w:val="FFFFFF" w:themeColor="background1"/>
                          <w:sz w:val="16"/>
                          <w:szCs w:val="16"/>
                          <w:lang w:val="en-US"/>
                        </w:rPr>
                        <w:t>E-mail:</w:t>
                      </w:r>
                      <w:r w:rsidR="002F00AA">
                        <w:rPr>
                          <w:lang w:val="en-US"/>
                        </w:rPr>
                        <w:t xml:space="preserve"> </w:t>
                      </w:r>
                      <w:r w:rsidR="007708C5" w:rsidRPr="003A6BDF">
                        <w:rPr>
                          <w:rFonts w:ascii="Arial" w:hAnsi="Arial" w:cs="Arial"/>
                          <w:b/>
                          <w:color w:val="FFFFFF" w:themeColor="background1"/>
                          <w:sz w:val="16"/>
                          <w:szCs w:val="16"/>
                          <w:lang w:val="en-US"/>
                        </w:rPr>
                        <w:t>davibezerra.66@hotmail.com</w:t>
                      </w:r>
                      <w:r w:rsidR="00111874">
                        <w:rPr>
                          <w:rFonts w:ascii="Arial" w:hAnsi="Arial" w:cs="Arial"/>
                          <w:b/>
                          <w:color w:val="FFFFFF" w:themeColor="background1"/>
                          <w:sz w:val="16"/>
                          <w:szCs w:val="16"/>
                          <w:lang w:val="en-US"/>
                        </w:rPr>
                        <w:t>.</w:t>
                      </w:r>
                    </w:p>
                    <w:p w14:paraId="22F4C2F7" w14:textId="6460DAF0" w:rsidR="00F43BAD" w:rsidRPr="00787B27" w:rsidRDefault="00F43BAD"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2</w:t>
                      </w:r>
                      <w:r w:rsidR="00111874">
                        <w:rPr>
                          <w:rFonts w:ascii="Arial" w:hAnsi="Arial" w:cs="Arial"/>
                          <w:b/>
                          <w:color w:val="FFFFFF" w:themeColor="background1"/>
                          <w:sz w:val="16"/>
                          <w:szCs w:val="16"/>
                        </w:rPr>
                        <w:t xml:space="preserve">. </w:t>
                      </w:r>
                      <w:r w:rsidR="007708C5" w:rsidRPr="007708C5">
                        <w:rPr>
                          <w:rFonts w:ascii="Arial" w:hAnsi="Arial" w:cs="Arial"/>
                          <w:b/>
                          <w:color w:val="FFFFFF" w:themeColor="background1"/>
                          <w:sz w:val="16"/>
                          <w:szCs w:val="16"/>
                        </w:rPr>
                        <w:t>Docente pela Universidade Estadual de Goiás (UEG) e Médica pela Universidade de Gurupi (UnirG).</w:t>
                      </w:r>
                      <w:r w:rsidR="002F00AA">
                        <w:rPr>
                          <w:rFonts w:ascii="Arial" w:hAnsi="Arial" w:cs="Arial"/>
                          <w:b/>
                          <w:color w:val="FFFFFF" w:themeColor="background1"/>
                          <w:sz w:val="16"/>
                          <w:szCs w:val="16"/>
                        </w:rPr>
                        <w:t xml:space="preserve"> </w:t>
                      </w:r>
                      <w:r w:rsidR="007708C5" w:rsidRPr="007708C5">
                        <w:rPr>
                          <w:rFonts w:ascii="Arial" w:hAnsi="Arial" w:cs="Arial"/>
                          <w:b/>
                          <w:color w:val="FFFFFF" w:themeColor="background1"/>
                          <w:sz w:val="16"/>
                          <w:szCs w:val="16"/>
                        </w:rPr>
                        <w:t>ORCID:</w:t>
                      </w:r>
                      <w:r w:rsidR="002F00AA">
                        <w:rPr>
                          <w:rFonts w:ascii="Arial" w:hAnsi="Arial" w:cs="Arial"/>
                          <w:b/>
                          <w:color w:val="FFFFFF" w:themeColor="background1"/>
                          <w:sz w:val="16"/>
                          <w:szCs w:val="16"/>
                        </w:rPr>
                        <w:t xml:space="preserve"> </w:t>
                      </w:r>
                      <w:r w:rsidR="007708C5" w:rsidRPr="007708C5">
                        <w:rPr>
                          <w:rFonts w:ascii="Arial" w:hAnsi="Arial" w:cs="Arial"/>
                          <w:b/>
                          <w:color w:val="FFFFFF" w:themeColor="background1"/>
                          <w:sz w:val="16"/>
                          <w:szCs w:val="16"/>
                        </w:rPr>
                        <w:t>https://orcid.org/0000-0003-1270-1608</w:t>
                      </w:r>
                      <w:r w:rsidR="002F00AA">
                        <w:rPr>
                          <w:rFonts w:ascii="Arial" w:hAnsi="Arial" w:cs="Arial"/>
                          <w:b/>
                          <w:color w:val="FFFFFF" w:themeColor="background1"/>
                          <w:sz w:val="16"/>
                          <w:szCs w:val="16"/>
                        </w:rPr>
                        <w:t>.</w:t>
                      </w:r>
                      <w:r w:rsidRPr="00787B27">
                        <w:rPr>
                          <w:rFonts w:ascii="Arial" w:hAnsi="Arial" w:cs="Arial"/>
                          <w:b/>
                          <w:color w:val="FFFFFF" w:themeColor="background1"/>
                          <w:sz w:val="16"/>
                          <w:szCs w:val="16"/>
                        </w:rPr>
                        <w:t xml:space="preserve"> </w:t>
                      </w:r>
                    </w:p>
                    <w:p w14:paraId="22E83242" w14:textId="69805718" w:rsidR="00F43BAD" w:rsidRPr="00787B27" w:rsidRDefault="00111874"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3.</w:t>
                      </w:r>
                      <w:r>
                        <w:rPr>
                          <w:rFonts w:ascii="Arial" w:hAnsi="Arial" w:cs="Arial"/>
                          <w:b/>
                          <w:color w:val="FFFFFF" w:themeColor="background1"/>
                          <w:sz w:val="16"/>
                          <w:szCs w:val="16"/>
                          <w:vertAlign w:val="superscript"/>
                        </w:rPr>
                        <w:t xml:space="preserve"> </w:t>
                      </w:r>
                      <w:r w:rsidR="007F3A53">
                        <w:rPr>
                          <w:rFonts w:ascii="Arial" w:hAnsi="Arial" w:cs="Arial"/>
                          <w:b/>
                          <w:color w:val="FFFFFF" w:themeColor="background1"/>
                          <w:sz w:val="16"/>
                          <w:szCs w:val="16"/>
                        </w:rPr>
                        <w:t>Docente em Química pela Universidade Federal do Mato Grosso (UFMT) e Médica pela Universidade de Gurupi (Unir</w:t>
                      </w:r>
                      <w:r w:rsidR="00430297">
                        <w:rPr>
                          <w:rFonts w:ascii="Arial" w:hAnsi="Arial" w:cs="Arial"/>
                          <w:b/>
                          <w:color w:val="FFFFFF" w:themeColor="background1"/>
                          <w:sz w:val="16"/>
                          <w:szCs w:val="16"/>
                        </w:rPr>
                        <w:t>G</w:t>
                      </w:r>
                      <w:r w:rsidR="007F3A53">
                        <w:rPr>
                          <w:rFonts w:ascii="Arial" w:hAnsi="Arial" w:cs="Arial"/>
                          <w:b/>
                          <w:color w:val="FFFFFF" w:themeColor="background1"/>
                          <w:sz w:val="16"/>
                          <w:szCs w:val="16"/>
                        </w:rPr>
                        <w:t xml:space="preserve">) </w:t>
                      </w:r>
                      <w:r w:rsidR="007F3A53" w:rsidRPr="007F3A53">
                        <w:rPr>
                          <w:rFonts w:ascii="Arial" w:hAnsi="Arial" w:cs="Arial"/>
                          <w:b/>
                          <w:color w:val="FFFFFF" w:themeColor="background1"/>
                          <w:sz w:val="16"/>
                          <w:szCs w:val="16"/>
                        </w:rPr>
                        <w:t>ORCID: https://orcid.org/</w:t>
                      </w:r>
                      <w:r w:rsidR="007F3A53" w:rsidRPr="007F3A53">
                        <w:t xml:space="preserve"> </w:t>
                      </w:r>
                      <w:r w:rsidR="007F3A53" w:rsidRPr="007F3A53">
                        <w:rPr>
                          <w:rFonts w:ascii="Arial" w:hAnsi="Arial" w:cs="Arial"/>
                          <w:b/>
                          <w:color w:val="FFFFFF" w:themeColor="background1"/>
                          <w:sz w:val="16"/>
                          <w:szCs w:val="16"/>
                        </w:rPr>
                        <w:t>0000-0002-6459-4317</w:t>
                      </w:r>
                      <w:r w:rsidR="002F00AA">
                        <w:rPr>
                          <w:rFonts w:ascii="Arial" w:hAnsi="Arial" w:cs="Arial"/>
                          <w:b/>
                          <w:color w:val="FFFFFF" w:themeColor="background1"/>
                          <w:sz w:val="16"/>
                          <w:szCs w:val="16"/>
                        </w:rPr>
                        <w:t>.</w:t>
                      </w:r>
                    </w:p>
                    <w:p w14:paraId="40DCCE1E" w14:textId="4C291A01" w:rsidR="00F43BAD" w:rsidRPr="00787B27" w:rsidRDefault="00F43BAD"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4</w:t>
                      </w:r>
                      <w:r w:rsidR="00111874">
                        <w:rPr>
                          <w:rFonts w:ascii="Arial" w:hAnsi="Arial" w:cs="Arial"/>
                          <w:b/>
                          <w:color w:val="FFFFFF" w:themeColor="background1"/>
                          <w:sz w:val="16"/>
                          <w:szCs w:val="16"/>
                        </w:rPr>
                        <w:t xml:space="preserve">. </w:t>
                      </w:r>
                      <w:r w:rsidR="003A6BDF">
                        <w:rPr>
                          <w:rFonts w:ascii="Arial" w:hAnsi="Arial" w:cs="Arial"/>
                          <w:b/>
                          <w:color w:val="FFFFFF" w:themeColor="background1"/>
                          <w:sz w:val="16"/>
                          <w:szCs w:val="16"/>
                        </w:rPr>
                        <w:t>Biomédica pela Pontifícia Universidade Ca</w:t>
                      </w:r>
                      <w:r w:rsidR="00430297">
                        <w:rPr>
                          <w:rFonts w:ascii="Arial" w:hAnsi="Arial" w:cs="Arial"/>
                          <w:b/>
                          <w:color w:val="FFFFFF" w:themeColor="background1"/>
                          <w:sz w:val="16"/>
                          <w:szCs w:val="16"/>
                        </w:rPr>
                        <w:t>t</w:t>
                      </w:r>
                      <w:r w:rsidR="003A6BDF">
                        <w:rPr>
                          <w:rFonts w:ascii="Arial" w:hAnsi="Arial" w:cs="Arial"/>
                          <w:b/>
                          <w:color w:val="FFFFFF" w:themeColor="background1"/>
                          <w:sz w:val="16"/>
                          <w:szCs w:val="16"/>
                        </w:rPr>
                        <w:t xml:space="preserve">ólica de Goiás (PUC-GO) e </w:t>
                      </w:r>
                      <w:r w:rsidR="007F3A53" w:rsidRPr="007F3A53">
                        <w:rPr>
                          <w:rFonts w:ascii="Arial" w:hAnsi="Arial" w:cs="Arial"/>
                          <w:b/>
                          <w:color w:val="FFFFFF" w:themeColor="background1"/>
                          <w:sz w:val="16"/>
                          <w:szCs w:val="16"/>
                        </w:rPr>
                        <w:t>Médica pela Universidade de Gurupi (UnirG). ORCID: https://orcid.org/0000-0002-4487-3917</w:t>
                      </w:r>
                      <w:r w:rsidRPr="00787B27">
                        <w:rPr>
                          <w:rFonts w:ascii="Arial" w:hAnsi="Arial" w:cs="Arial"/>
                          <w:b/>
                          <w:color w:val="FFFFFF" w:themeColor="background1"/>
                          <w:sz w:val="16"/>
                          <w:szCs w:val="16"/>
                        </w:rPr>
                        <w:t xml:space="preserve"> </w:t>
                      </w:r>
                      <w:r w:rsidR="002F00AA">
                        <w:rPr>
                          <w:rFonts w:ascii="Arial" w:hAnsi="Arial" w:cs="Arial"/>
                          <w:b/>
                          <w:color w:val="FFFFFF" w:themeColor="background1"/>
                          <w:sz w:val="16"/>
                          <w:szCs w:val="16"/>
                        </w:rPr>
                        <w:t>.</w:t>
                      </w:r>
                    </w:p>
                    <w:p w14:paraId="71DC1AF4" w14:textId="6A27C553" w:rsidR="00F43BAD" w:rsidRDefault="007F3A53"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5</w:t>
                      </w:r>
                      <w:r w:rsidR="00111874">
                        <w:rPr>
                          <w:rFonts w:ascii="Arial" w:hAnsi="Arial" w:cs="Arial"/>
                          <w:b/>
                          <w:color w:val="FFFFFF" w:themeColor="background1"/>
                          <w:sz w:val="16"/>
                          <w:szCs w:val="16"/>
                        </w:rPr>
                        <w:t xml:space="preserve">. </w:t>
                      </w:r>
                      <w:r w:rsidRPr="007F3A53">
                        <w:rPr>
                          <w:rFonts w:ascii="Arial" w:hAnsi="Arial" w:cs="Arial"/>
                          <w:b/>
                          <w:color w:val="FFFFFF" w:themeColor="background1"/>
                          <w:sz w:val="16"/>
                          <w:szCs w:val="16"/>
                        </w:rPr>
                        <w:t>Médica pela Universidade de Gurupi (Unir</w:t>
                      </w:r>
                      <w:r w:rsidR="00430297">
                        <w:rPr>
                          <w:rFonts w:ascii="Arial" w:hAnsi="Arial" w:cs="Arial"/>
                          <w:b/>
                          <w:color w:val="FFFFFF" w:themeColor="background1"/>
                          <w:sz w:val="16"/>
                          <w:szCs w:val="16"/>
                        </w:rPr>
                        <w:t>G</w:t>
                      </w:r>
                      <w:r w:rsidRPr="007F3A53">
                        <w:rPr>
                          <w:rFonts w:ascii="Arial" w:hAnsi="Arial" w:cs="Arial"/>
                          <w:b/>
                          <w:color w:val="FFFFFF" w:themeColor="background1"/>
                          <w:sz w:val="16"/>
                          <w:szCs w:val="16"/>
                        </w:rPr>
                        <w:t>). ORCID: https://orcid.org/0000-0002-8462-1490</w:t>
                      </w:r>
                      <w:r w:rsidR="002F00AA">
                        <w:rPr>
                          <w:rFonts w:ascii="Arial" w:hAnsi="Arial" w:cs="Arial"/>
                          <w:b/>
                          <w:color w:val="FFFFFF" w:themeColor="background1"/>
                          <w:sz w:val="16"/>
                          <w:szCs w:val="16"/>
                        </w:rPr>
                        <w:t>.</w:t>
                      </w:r>
                      <w:r w:rsidR="00F43BAD" w:rsidRPr="00787B27">
                        <w:rPr>
                          <w:rFonts w:ascii="Arial" w:hAnsi="Arial" w:cs="Arial"/>
                          <w:b/>
                          <w:color w:val="FFFFFF" w:themeColor="background1"/>
                          <w:sz w:val="16"/>
                          <w:szCs w:val="16"/>
                        </w:rPr>
                        <w:t xml:space="preserve"> </w:t>
                      </w:r>
                    </w:p>
                    <w:p w14:paraId="7D6ABA1B" w14:textId="2418949E" w:rsidR="007F3A53" w:rsidRDefault="00111874" w:rsidP="002F00AA">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rPr>
                        <w:t>6.</w:t>
                      </w:r>
                      <w:r w:rsidR="007F3A53" w:rsidRPr="00111874">
                        <w:rPr>
                          <w:rFonts w:ascii="Arial" w:hAnsi="Arial" w:cs="Arial"/>
                          <w:b/>
                          <w:color w:val="FFFFFF" w:themeColor="background1"/>
                          <w:sz w:val="16"/>
                          <w:szCs w:val="16"/>
                        </w:rPr>
                        <w:t xml:space="preserve"> </w:t>
                      </w:r>
                      <w:r w:rsidR="007F3A53" w:rsidRPr="007F3A53">
                        <w:rPr>
                          <w:rFonts w:ascii="Arial" w:hAnsi="Arial" w:cs="Arial"/>
                          <w:b/>
                          <w:color w:val="FFFFFF" w:themeColor="background1"/>
                          <w:sz w:val="16"/>
                          <w:szCs w:val="16"/>
                        </w:rPr>
                        <w:t>Médica pela Universidade de Gurupi (UnirG). ORCID: https://orcid.org/0000-0001-8245-5946.</w:t>
                      </w:r>
                    </w:p>
                    <w:p w14:paraId="0272A55C" w14:textId="4D835D24" w:rsidR="007F3A53" w:rsidRDefault="007F3A53"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7</w:t>
                      </w:r>
                      <w:r w:rsidR="00111874">
                        <w:rPr>
                          <w:rFonts w:ascii="Arial" w:hAnsi="Arial" w:cs="Arial"/>
                          <w:b/>
                          <w:color w:val="FFFFFF" w:themeColor="background1"/>
                          <w:sz w:val="16"/>
                          <w:szCs w:val="16"/>
                        </w:rPr>
                        <w:t xml:space="preserve">. </w:t>
                      </w:r>
                      <w:r w:rsidRPr="007F3A53">
                        <w:rPr>
                          <w:rFonts w:ascii="Arial" w:hAnsi="Arial" w:cs="Arial"/>
                          <w:b/>
                          <w:color w:val="FFFFFF" w:themeColor="background1"/>
                          <w:sz w:val="16"/>
                          <w:szCs w:val="16"/>
                        </w:rPr>
                        <w:t>Médica pela Universidade de Gurupi (Unir</w:t>
                      </w:r>
                      <w:r w:rsidR="00430297">
                        <w:rPr>
                          <w:rFonts w:ascii="Arial" w:hAnsi="Arial" w:cs="Arial"/>
                          <w:b/>
                          <w:color w:val="FFFFFF" w:themeColor="background1"/>
                          <w:sz w:val="16"/>
                          <w:szCs w:val="16"/>
                        </w:rPr>
                        <w:t>G</w:t>
                      </w:r>
                      <w:r w:rsidR="00EF4394">
                        <w:rPr>
                          <w:rFonts w:ascii="Arial" w:hAnsi="Arial" w:cs="Arial"/>
                          <w:b/>
                          <w:color w:val="FFFFFF" w:themeColor="background1"/>
                          <w:sz w:val="16"/>
                          <w:szCs w:val="16"/>
                        </w:rPr>
                        <w:t>)</w:t>
                      </w:r>
                      <w:r w:rsidRPr="007F3A53">
                        <w:rPr>
                          <w:rFonts w:ascii="Arial" w:hAnsi="Arial" w:cs="Arial"/>
                          <w:b/>
                          <w:color w:val="FFFFFF" w:themeColor="background1"/>
                          <w:sz w:val="16"/>
                          <w:szCs w:val="16"/>
                        </w:rPr>
                        <w:t>. ORCID: https://orcid.org/0000-0003-4264-8297.</w:t>
                      </w:r>
                    </w:p>
                    <w:p w14:paraId="3C081693" w14:textId="41061183" w:rsidR="007F3A53" w:rsidRDefault="007F3A53" w:rsidP="002F00AA">
                      <w:pPr>
                        <w:spacing w:after="240"/>
                        <w:ind w:left="-284" w:right="-352"/>
                        <w:jc w:val="both"/>
                        <w:rPr>
                          <w:rFonts w:ascii="Arial" w:hAnsi="Arial" w:cs="Arial"/>
                          <w:b/>
                          <w:color w:val="FFFFFF" w:themeColor="background1"/>
                          <w:sz w:val="16"/>
                          <w:szCs w:val="16"/>
                        </w:rPr>
                      </w:pPr>
                      <w:r w:rsidRPr="00111874">
                        <w:rPr>
                          <w:rFonts w:ascii="Arial" w:hAnsi="Arial" w:cs="Arial"/>
                          <w:b/>
                          <w:color w:val="FFFFFF" w:themeColor="background1"/>
                          <w:sz w:val="16"/>
                          <w:szCs w:val="16"/>
                        </w:rPr>
                        <w:t>8</w:t>
                      </w:r>
                      <w:r w:rsidR="00111874">
                        <w:rPr>
                          <w:rFonts w:ascii="Arial" w:hAnsi="Arial" w:cs="Arial"/>
                          <w:b/>
                          <w:color w:val="FFFFFF" w:themeColor="background1"/>
                          <w:sz w:val="16"/>
                          <w:szCs w:val="16"/>
                        </w:rPr>
                        <w:t xml:space="preserve">. </w:t>
                      </w:r>
                      <w:r w:rsidRPr="007F3A53">
                        <w:rPr>
                          <w:rFonts w:ascii="Arial" w:hAnsi="Arial" w:cs="Arial"/>
                          <w:b/>
                          <w:color w:val="FFFFFF" w:themeColor="background1"/>
                          <w:sz w:val="16"/>
                          <w:szCs w:val="16"/>
                        </w:rPr>
                        <w:t>Docente em Fisioterapia e Medicina pela Universidade de Gurupi (UnirG), Mestre em Ciências da Saúde (Universidade Federal do Tocantins, UFT-Palmas/TO) e Fisioterapeuta (Faculdades Integradas de Santa Fé do Sul, FUNEC/FISA-SP). ORCID: https://orcid.org/0000-0002-0585-0624</w:t>
                      </w:r>
                      <w:r w:rsidR="002F00AA">
                        <w:rPr>
                          <w:rFonts w:ascii="Arial" w:hAnsi="Arial" w:cs="Arial"/>
                          <w:b/>
                          <w:color w:val="FFFFFF" w:themeColor="background1"/>
                          <w:sz w:val="16"/>
                          <w:szCs w:val="16"/>
                        </w:rPr>
                        <w:t>.</w:t>
                      </w:r>
                    </w:p>
                    <w:p w14:paraId="11282381" w14:textId="77777777" w:rsidR="007F3A53" w:rsidRDefault="007F3A53" w:rsidP="002F00AA">
                      <w:pPr>
                        <w:spacing w:after="240"/>
                        <w:ind w:left="-284" w:right="-352"/>
                        <w:jc w:val="both"/>
                        <w:rPr>
                          <w:rFonts w:ascii="Arial" w:hAnsi="Arial" w:cs="Arial"/>
                          <w:b/>
                          <w:color w:val="FFFFFF" w:themeColor="background1"/>
                          <w:sz w:val="16"/>
                          <w:szCs w:val="16"/>
                        </w:rPr>
                      </w:pPr>
                    </w:p>
                    <w:p w14:paraId="75D81356" w14:textId="77777777" w:rsidR="007F3A53" w:rsidRDefault="007F3A53" w:rsidP="00AE3EE8">
                      <w:pPr>
                        <w:spacing w:after="240"/>
                        <w:ind w:left="-284" w:right="-352"/>
                        <w:rPr>
                          <w:rFonts w:ascii="Arial" w:hAnsi="Arial" w:cs="Arial"/>
                          <w:b/>
                          <w:color w:val="FFFFFF" w:themeColor="background1"/>
                          <w:sz w:val="16"/>
                          <w:szCs w:val="16"/>
                        </w:rPr>
                      </w:pPr>
                    </w:p>
                    <w:p w14:paraId="2402FC7A" w14:textId="77777777" w:rsidR="00F43BAD" w:rsidRDefault="00F43BAD" w:rsidP="00AE3EE8">
                      <w:pPr>
                        <w:spacing w:after="240"/>
                        <w:ind w:left="-284" w:right="-352"/>
                        <w:rPr>
                          <w:rFonts w:ascii="Arial" w:hAnsi="Arial" w:cs="Arial"/>
                          <w:b/>
                          <w:color w:val="FFFFFF" w:themeColor="background1"/>
                          <w:sz w:val="16"/>
                          <w:szCs w:val="16"/>
                        </w:rPr>
                      </w:pPr>
                    </w:p>
                    <w:p w14:paraId="0F17D782" w14:textId="77777777" w:rsidR="00F43BAD" w:rsidRDefault="00F43BAD"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13D64293">
                <wp:extent cx="5132070" cy="982980"/>
                <wp:effectExtent l="38100" t="38100" r="0" b="762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982980"/>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71FA716" w14:textId="7012E1C1" w:rsidR="00F43BAD" w:rsidRDefault="007708C5" w:rsidP="00111874">
                            <w:pPr>
                              <w:jc w:val="both"/>
                              <w:rPr>
                                <w:rFonts w:ascii="Arial" w:hAnsi="Arial" w:cs="Arial"/>
                                <w:color w:val="1F497D" w:themeColor="text2"/>
                                <w:sz w:val="20"/>
                                <w:szCs w:val="20"/>
                                <w:vertAlign w:val="superscript"/>
                              </w:rPr>
                            </w:pPr>
                            <w:r>
                              <w:rPr>
                                <w:rFonts w:ascii="Arial" w:hAnsi="Arial" w:cs="Arial"/>
                                <w:color w:val="1F497D" w:themeColor="text2"/>
                                <w:sz w:val="20"/>
                                <w:szCs w:val="20"/>
                              </w:rPr>
                              <w:t>Davi Carvalho Barros Bezerra</w:t>
                            </w:r>
                            <w:r w:rsidR="00F43BAD" w:rsidRPr="005E04A7">
                              <w:rPr>
                                <w:rFonts w:ascii="Arial" w:hAnsi="Arial" w:cs="Arial"/>
                                <w:color w:val="1F497D" w:themeColor="text2"/>
                                <w:sz w:val="20"/>
                                <w:szCs w:val="20"/>
                                <w:vertAlign w:val="superscript"/>
                              </w:rPr>
                              <w:t>1</w:t>
                            </w:r>
                            <w:r w:rsidR="00F43BAD" w:rsidRPr="005E04A7">
                              <w:rPr>
                                <w:rFonts w:ascii="Arial" w:hAnsi="Arial" w:cs="Arial"/>
                                <w:color w:val="1F497D" w:themeColor="text2"/>
                                <w:sz w:val="20"/>
                                <w:szCs w:val="20"/>
                              </w:rPr>
                              <w:t xml:space="preserve">, </w:t>
                            </w:r>
                            <w:r>
                              <w:rPr>
                                <w:rFonts w:ascii="Arial" w:hAnsi="Arial" w:cs="Arial"/>
                                <w:color w:val="1F497D" w:themeColor="text2"/>
                                <w:sz w:val="20"/>
                                <w:szCs w:val="20"/>
                              </w:rPr>
                              <w:t>Flávia Martins Gervásio</w:t>
                            </w:r>
                            <w:r w:rsidR="00F43BAD" w:rsidRPr="005E04A7">
                              <w:rPr>
                                <w:rFonts w:ascii="Arial" w:hAnsi="Arial" w:cs="Arial"/>
                                <w:color w:val="1F497D" w:themeColor="text2"/>
                                <w:sz w:val="20"/>
                                <w:szCs w:val="20"/>
                                <w:vertAlign w:val="superscript"/>
                              </w:rPr>
                              <w:t>2</w:t>
                            </w:r>
                            <w:r w:rsidR="00F43BAD" w:rsidRPr="005E04A7">
                              <w:rPr>
                                <w:rFonts w:ascii="Arial" w:hAnsi="Arial" w:cs="Arial"/>
                                <w:color w:val="1F497D" w:themeColor="text2"/>
                                <w:sz w:val="20"/>
                                <w:szCs w:val="20"/>
                              </w:rPr>
                              <w:t xml:space="preserve">, </w:t>
                            </w:r>
                            <w:r>
                              <w:rPr>
                                <w:rFonts w:ascii="Arial" w:hAnsi="Arial" w:cs="Arial"/>
                                <w:color w:val="1F497D" w:themeColor="text2"/>
                                <w:sz w:val="20"/>
                                <w:szCs w:val="20"/>
                              </w:rPr>
                              <w:t>Agnês Mie Sakamoto</w:t>
                            </w:r>
                            <w:r w:rsidR="00F43BAD" w:rsidRPr="005E04A7">
                              <w:rPr>
                                <w:rFonts w:ascii="Arial" w:hAnsi="Arial" w:cs="Arial"/>
                                <w:color w:val="1F497D" w:themeColor="text2"/>
                                <w:sz w:val="20"/>
                                <w:szCs w:val="20"/>
                                <w:vertAlign w:val="superscript"/>
                              </w:rPr>
                              <w:t>3</w:t>
                            </w:r>
                            <w:r w:rsidR="00F43BAD" w:rsidRPr="005E04A7">
                              <w:rPr>
                                <w:rFonts w:ascii="Arial" w:hAnsi="Arial" w:cs="Arial"/>
                                <w:color w:val="1F497D" w:themeColor="text2"/>
                                <w:sz w:val="20"/>
                                <w:szCs w:val="20"/>
                              </w:rPr>
                              <w:t xml:space="preserve">, </w:t>
                            </w:r>
                            <w:r>
                              <w:rPr>
                                <w:rFonts w:ascii="Arial" w:hAnsi="Arial" w:cs="Arial"/>
                                <w:color w:val="1F497D" w:themeColor="text2"/>
                                <w:sz w:val="20"/>
                                <w:szCs w:val="20"/>
                              </w:rPr>
                              <w:t>Adna Rocha dos Passos</w:t>
                            </w:r>
                            <w:r w:rsidR="00F43BAD" w:rsidRPr="005E04A7">
                              <w:rPr>
                                <w:rFonts w:ascii="Arial" w:hAnsi="Arial" w:cs="Arial"/>
                                <w:color w:val="1F497D" w:themeColor="text2"/>
                                <w:sz w:val="20"/>
                                <w:szCs w:val="20"/>
                                <w:vertAlign w:val="superscript"/>
                              </w:rPr>
                              <w:t>4</w:t>
                            </w:r>
                            <w:r w:rsidR="00F43BAD">
                              <w:rPr>
                                <w:rFonts w:ascii="Arial" w:hAnsi="Arial" w:cs="Arial"/>
                                <w:color w:val="1F497D" w:themeColor="text2"/>
                                <w:sz w:val="20"/>
                                <w:szCs w:val="20"/>
                              </w:rPr>
                              <w:t xml:space="preserve">, </w:t>
                            </w:r>
                            <w:r>
                              <w:rPr>
                                <w:rFonts w:ascii="Arial" w:hAnsi="Arial" w:cs="Arial"/>
                                <w:color w:val="1F497D" w:themeColor="text2"/>
                                <w:sz w:val="20"/>
                                <w:szCs w:val="20"/>
                              </w:rPr>
                              <w:t>Andressa de Souza Sampaio</w:t>
                            </w:r>
                            <w:r>
                              <w:rPr>
                                <w:rFonts w:ascii="Arial" w:hAnsi="Arial" w:cs="Arial"/>
                                <w:color w:val="1F497D" w:themeColor="text2"/>
                                <w:sz w:val="20"/>
                                <w:szCs w:val="20"/>
                                <w:vertAlign w:val="superscript"/>
                              </w:rPr>
                              <w:t>5</w:t>
                            </w:r>
                            <w:r>
                              <w:rPr>
                                <w:rFonts w:ascii="Arial" w:hAnsi="Arial" w:cs="Arial"/>
                                <w:color w:val="1F497D" w:themeColor="text2"/>
                                <w:sz w:val="20"/>
                                <w:szCs w:val="20"/>
                              </w:rPr>
                              <w:t>, Thamires Monteir</w:t>
                            </w:r>
                            <w:r w:rsidR="00CB4EC4">
                              <w:rPr>
                                <w:rFonts w:ascii="Arial" w:hAnsi="Arial" w:cs="Arial"/>
                                <w:color w:val="1F497D" w:themeColor="text2"/>
                                <w:sz w:val="20"/>
                                <w:szCs w:val="20"/>
                              </w:rPr>
                              <w:t>o de</w:t>
                            </w:r>
                            <w:r>
                              <w:rPr>
                                <w:rFonts w:ascii="Arial" w:hAnsi="Arial" w:cs="Arial"/>
                                <w:color w:val="1F497D" w:themeColor="text2"/>
                                <w:sz w:val="20"/>
                                <w:szCs w:val="20"/>
                              </w:rPr>
                              <w:t xml:space="preserve"> Abreu</w:t>
                            </w:r>
                            <w:r>
                              <w:rPr>
                                <w:rFonts w:ascii="Arial" w:hAnsi="Arial" w:cs="Arial"/>
                                <w:color w:val="1F497D" w:themeColor="text2"/>
                                <w:sz w:val="20"/>
                                <w:szCs w:val="20"/>
                                <w:vertAlign w:val="superscript"/>
                              </w:rPr>
                              <w:t>6</w:t>
                            </w:r>
                            <w:r>
                              <w:rPr>
                                <w:rFonts w:ascii="Arial" w:hAnsi="Arial" w:cs="Arial"/>
                                <w:color w:val="1F497D" w:themeColor="text2"/>
                                <w:sz w:val="20"/>
                                <w:szCs w:val="20"/>
                              </w:rPr>
                              <w:t>, Geovanna Cardoso Seixas</w:t>
                            </w:r>
                            <w:r w:rsidRPr="007708C5">
                              <w:rPr>
                                <w:rFonts w:ascii="Arial" w:hAnsi="Arial" w:cs="Arial"/>
                                <w:color w:val="1F497D" w:themeColor="text2"/>
                                <w:sz w:val="20"/>
                                <w:szCs w:val="20"/>
                                <w:vertAlign w:val="superscript"/>
                              </w:rPr>
                              <w:t>7</w:t>
                            </w:r>
                            <w:r>
                              <w:rPr>
                                <w:rFonts w:ascii="Arial" w:hAnsi="Arial" w:cs="Arial"/>
                                <w:color w:val="1F497D" w:themeColor="text2"/>
                                <w:sz w:val="20"/>
                                <w:szCs w:val="20"/>
                              </w:rPr>
                              <w:t>,</w:t>
                            </w:r>
                            <w:r w:rsidRPr="007708C5">
                              <w:rPr>
                                <w:rFonts w:ascii="Arial" w:hAnsi="Arial" w:cs="Arial"/>
                                <w:color w:val="1F497D" w:themeColor="text2"/>
                                <w:sz w:val="20"/>
                                <w:szCs w:val="20"/>
                              </w:rPr>
                              <w:t xml:space="preserve"> </w:t>
                            </w:r>
                            <w:r>
                              <w:rPr>
                                <w:rFonts w:ascii="Arial" w:hAnsi="Arial" w:cs="Arial"/>
                                <w:color w:val="1F497D" w:themeColor="text2"/>
                                <w:sz w:val="20"/>
                                <w:szCs w:val="20"/>
                              </w:rPr>
                              <w:t>Rafaela de Carvalho Alves</w:t>
                            </w:r>
                            <w:r w:rsidRPr="007708C5">
                              <w:rPr>
                                <w:rFonts w:ascii="Arial" w:hAnsi="Arial" w:cs="Arial"/>
                                <w:color w:val="1F497D" w:themeColor="text2"/>
                                <w:sz w:val="20"/>
                                <w:szCs w:val="20"/>
                                <w:vertAlign w:val="superscript"/>
                              </w:rPr>
                              <w:t>8</w:t>
                            </w:r>
                            <w:r>
                              <w:rPr>
                                <w:rFonts w:ascii="Arial" w:hAnsi="Arial" w:cs="Arial"/>
                                <w:color w:val="1F497D" w:themeColor="text2"/>
                                <w:sz w:val="20"/>
                                <w:szCs w:val="20"/>
                              </w:rPr>
                              <w:t>.</w:t>
                            </w:r>
                          </w:p>
                          <w:p w14:paraId="6F8E8805" w14:textId="7D66E1AB" w:rsidR="00F43BAD" w:rsidRPr="00164E46" w:rsidRDefault="00F43BAD" w:rsidP="007708C5">
                            <w:pPr>
                              <w:spacing w:after="240"/>
                              <w:ind w:left="-284" w:right="-352"/>
                              <w:rPr>
                                <w:rFonts w:ascii="Arial" w:hAnsi="Arial" w:cs="Arial"/>
                                <w:color w:val="1F497D" w:themeColor="text2"/>
                                <w:sz w:val="20"/>
                                <w:szCs w:val="20"/>
                                <w:vertAlign w:val="superscript"/>
                              </w:rPr>
                            </w:pPr>
                            <w:r w:rsidRPr="004C0033">
                              <w:rPr>
                                <w:sz w:val="10"/>
                                <w:szCs w:val="22"/>
                                <w:highlight w:val="yellow"/>
                              </w:rPr>
                              <w:t>(</w:t>
                            </w:r>
                          </w:p>
                        </w:txbxContent>
                      </wps:txbx>
                      <wps:bodyPr rot="0" vert="horz" wrap="square" lIns="91440" tIns="45720" rIns="457200" bIns="228600" anchor="t" anchorCtr="0" upright="1">
                        <a:noAutofit/>
                      </wps:bodyPr>
                    </wps:wsp>
                  </a:graphicData>
                </a:graphic>
              </wp:inline>
            </w:drawing>
          </mc:Choice>
          <mc:Fallback>
            <w:pict>
              <v:roundrect w14:anchorId="643F9AE0" id="AutoForma 2" o:spid="_x0000_s1027" style="width:404.1pt;height:77.4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" stroked="f">
                <v:shadow on="t" type="perspective" color="#4f81bd" origin="-.5,-.5" offset="-3pt,-3pt" matrix="58982f,,,58982f"/>
                <v:textbox inset=",,36pt,18pt">
                  <w:txbxContent>
                    <w:p w14:paraId="171FA716" w14:textId="7012E1C1" w:rsidR="00F43BAD" w:rsidRDefault="007708C5" w:rsidP="00111874">
                      <w:pPr>
                        <w:jc w:val="both"/>
                        <w:rPr>
                          <w:rFonts w:ascii="Arial" w:hAnsi="Arial" w:cs="Arial"/>
                          <w:color w:val="1F497D" w:themeColor="text2"/>
                          <w:sz w:val="20"/>
                          <w:szCs w:val="20"/>
                          <w:vertAlign w:val="superscript"/>
                        </w:rPr>
                      </w:pPr>
                      <w:r>
                        <w:rPr>
                          <w:rFonts w:ascii="Arial" w:hAnsi="Arial" w:cs="Arial"/>
                          <w:color w:val="1F497D" w:themeColor="text2"/>
                          <w:sz w:val="20"/>
                          <w:szCs w:val="20"/>
                        </w:rPr>
                        <w:t>Davi Carvalho Barros Bezerra</w:t>
                      </w:r>
                      <w:r w:rsidR="00F43BAD" w:rsidRPr="005E04A7">
                        <w:rPr>
                          <w:rFonts w:ascii="Arial" w:hAnsi="Arial" w:cs="Arial"/>
                          <w:color w:val="1F497D" w:themeColor="text2"/>
                          <w:sz w:val="20"/>
                          <w:szCs w:val="20"/>
                          <w:vertAlign w:val="superscript"/>
                        </w:rPr>
                        <w:t>1</w:t>
                      </w:r>
                      <w:r w:rsidR="00F43BAD" w:rsidRPr="005E04A7">
                        <w:rPr>
                          <w:rFonts w:ascii="Arial" w:hAnsi="Arial" w:cs="Arial"/>
                          <w:color w:val="1F497D" w:themeColor="text2"/>
                          <w:sz w:val="20"/>
                          <w:szCs w:val="20"/>
                        </w:rPr>
                        <w:t xml:space="preserve">, </w:t>
                      </w:r>
                      <w:r>
                        <w:rPr>
                          <w:rFonts w:ascii="Arial" w:hAnsi="Arial" w:cs="Arial"/>
                          <w:color w:val="1F497D" w:themeColor="text2"/>
                          <w:sz w:val="20"/>
                          <w:szCs w:val="20"/>
                        </w:rPr>
                        <w:t>Flávia Martins Gervásio</w:t>
                      </w:r>
                      <w:r w:rsidR="00F43BAD" w:rsidRPr="005E04A7">
                        <w:rPr>
                          <w:rFonts w:ascii="Arial" w:hAnsi="Arial" w:cs="Arial"/>
                          <w:color w:val="1F497D" w:themeColor="text2"/>
                          <w:sz w:val="20"/>
                          <w:szCs w:val="20"/>
                          <w:vertAlign w:val="superscript"/>
                        </w:rPr>
                        <w:t>2</w:t>
                      </w:r>
                      <w:r w:rsidR="00F43BAD" w:rsidRPr="005E04A7">
                        <w:rPr>
                          <w:rFonts w:ascii="Arial" w:hAnsi="Arial" w:cs="Arial"/>
                          <w:color w:val="1F497D" w:themeColor="text2"/>
                          <w:sz w:val="20"/>
                          <w:szCs w:val="20"/>
                        </w:rPr>
                        <w:t xml:space="preserve">, </w:t>
                      </w:r>
                      <w:r>
                        <w:rPr>
                          <w:rFonts w:ascii="Arial" w:hAnsi="Arial" w:cs="Arial"/>
                          <w:color w:val="1F497D" w:themeColor="text2"/>
                          <w:sz w:val="20"/>
                          <w:szCs w:val="20"/>
                        </w:rPr>
                        <w:t>Agnês Mie Sakamoto</w:t>
                      </w:r>
                      <w:r w:rsidR="00F43BAD" w:rsidRPr="005E04A7">
                        <w:rPr>
                          <w:rFonts w:ascii="Arial" w:hAnsi="Arial" w:cs="Arial"/>
                          <w:color w:val="1F497D" w:themeColor="text2"/>
                          <w:sz w:val="20"/>
                          <w:szCs w:val="20"/>
                          <w:vertAlign w:val="superscript"/>
                        </w:rPr>
                        <w:t>3</w:t>
                      </w:r>
                      <w:r w:rsidR="00F43BAD" w:rsidRPr="005E04A7">
                        <w:rPr>
                          <w:rFonts w:ascii="Arial" w:hAnsi="Arial" w:cs="Arial"/>
                          <w:color w:val="1F497D" w:themeColor="text2"/>
                          <w:sz w:val="20"/>
                          <w:szCs w:val="20"/>
                        </w:rPr>
                        <w:t xml:space="preserve">, </w:t>
                      </w:r>
                      <w:r>
                        <w:rPr>
                          <w:rFonts w:ascii="Arial" w:hAnsi="Arial" w:cs="Arial"/>
                          <w:color w:val="1F497D" w:themeColor="text2"/>
                          <w:sz w:val="20"/>
                          <w:szCs w:val="20"/>
                        </w:rPr>
                        <w:t>Adna Rocha dos Passos</w:t>
                      </w:r>
                      <w:r w:rsidR="00F43BAD" w:rsidRPr="005E04A7">
                        <w:rPr>
                          <w:rFonts w:ascii="Arial" w:hAnsi="Arial" w:cs="Arial"/>
                          <w:color w:val="1F497D" w:themeColor="text2"/>
                          <w:sz w:val="20"/>
                          <w:szCs w:val="20"/>
                          <w:vertAlign w:val="superscript"/>
                        </w:rPr>
                        <w:t>4</w:t>
                      </w:r>
                      <w:r w:rsidR="00F43BAD">
                        <w:rPr>
                          <w:rFonts w:ascii="Arial" w:hAnsi="Arial" w:cs="Arial"/>
                          <w:color w:val="1F497D" w:themeColor="text2"/>
                          <w:sz w:val="20"/>
                          <w:szCs w:val="20"/>
                        </w:rPr>
                        <w:t xml:space="preserve">, </w:t>
                      </w:r>
                      <w:r>
                        <w:rPr>
                          <w:rFonts w:ascii="Arial" w:hAnsi="Arial" w:cs="Arial"/>
                          <w:color w:val="1F497D" w:themeColor="text2"/>
                          <w:sz w:val="20"/>
                          <w:szCs w:val="20"/>
                        </w:rPr>
                        <w:t>Andressa de Souza Sampaio</w:t>
                      </w:r>
                      <w:r>
                        <w:rPr>
                          <w:rFonts w:ascii="Arial" w:hAnsi="Arial" w:cs="Arial"/>
                          <w:color w:val="1F497D" w:themeColor="text2"/>
                          <w:sz w:val="20"/>
                          <w:szCs w:val="20"/>
                          <w:vertAlign w:val="superscript"/>
                        </w:rPr>
                        <w:t>5</w:t>
                      </w:r>
                      <w:r>
                        <w:rPr>
                          <w:rFonts w:ascii="Arial" w:hAnsi="Arial" w:cs="Arial"/>
                          <w:color w:val="1F497D" w:themeColor="text2"/>
                          <w:sz w:val="20"/>
                          <w:szCs w:val="20"/>
                        </w:rPr>
                        <w:t>, Thamires Monteir</w:t>
                      </w:r>
                      <w:r w:rsidR="00CB4EC4">
                        <w:rPr>
                          <w:rFonts w:ascii="Arial" w:hAnsi="Arial" w:cs="Arial"/>
                          <w:color w:val="1F497D" w:themeColor="text2"/>
                          <w:sz w:val="20"/>
                          <w:szCs w:val="20"/>
                        </w:rPr>
                        <w:t>o de</w:t>
                      </w:r>
                      <w:r>
                        <w:rPr>
                          <w:rFonts w:ascii="Arial" w:hAnsi="Arial" w:cs="Arial"/>
                          <w:color w:val="1F497D" w:themeColor="text2"/>
                          <w:sz w:val="20"/>
                          <w:szCs w:val="20"/>
                        </w:rPr>
                        <w:t xml:space="preserve"> Abreu</w:t>
                      </w:r>
                      <w:r>
                        <w:rPr>
                          <w:rFonts w:ascii="Arial" w:hAnsi="Arial" w:cs="Arial"/>
                          <w:color w:val="1F497D" w:themeColor="text2"/>
                          <w:sz w:val="20"/>
                          <w:szCs w:val="20"/>
                          <w:vertAlign w:val="superscript"/>
                        </w:rPr>
                        <w:t>6</w:t>
                      </w:r>
                      <w:r>
                        <w:rPr>
                          <w:rFonts w:ascii="Arial" w:hAnsi="Arial" w:cs="Arial"/>
                          <w:color w:val="1F497D" w:themeColor="text2"/>
                          <w:sz w:val="20"/>
                          <w:szCs w:val="20"/>
                        </w:rPr>
                        <w:t>, Geovanna Cardoso Seixas</w:t>
                      </w:r>
                      <w:r w:rsidRPr="007708C5">
                        <w:rPr>
                          <w:rFonts w:ascii="Arial" w:hAnsi="Arial" w:cs="Arial"/>
                          <w:color w:val="1F497D" w:themeColor="text2"/>
                          <w:sz w:val="20"/>
                          <w:szCs w:val="20"/>
                          <w:vertAlign w:val="superscript"/>
                        </w:rPr>
                        <w:t>7</w:t>
                      </w:r>
                      <w:r>
                        <w:rPr>
                          <w:rFonts w:ascii="Arial" w:hAnsi="Arial" w:cs="Arial"/>
                          <w:color w:val="1F497D" w:themeColor="text2"/>
                          <w:sz w:val="20"/>
                          <w:szCs w:val="20"/>
                        </w:rPr>
                        <w:t>,</w:t>
                      </w:r>
                      <w:r w:rsidRPr="007708C5">
                        <w:rPr>
                          <w:rFonts w:ascii="Arial" w:hAnsi="Arial" w:cs="Arial"/>
                          <w:color w:val="1F497D" w:themeColor="text2"/>
                          <w:sz w:val="20"/>
                          <w:szCs w:val="20"/>
                        </w:rPr>
                        <w:t xml:space="preserve"> </w:t>
                      </w:r>
                      <w:r>
                        <w:rPr>
                          <w:rFonts w:ascii="Arial" w:hAnsi="Arial" w:cs="Arial"/>
                          <w:color w:val="1F497D" w:themeColor="text2"/>
                          <w:sz w:val="20"/>
                          <w:szCs w:val="20"/>
                        </w:rPr>
                        <w:t>Rafaela de Carvalho Alves</w:t>
                      </w:r>
                      <w:r w:rsidRPr="007708C5">
                        <w:rPr>
                          <w:rFonts w:ascii="Arial" w:hAnsi="Arial" w:cs="Arial"/>
                          <w:color w:val="1F497D" w:themeColor="text2"/>
                          <w:sz w:val="20"/>
                          <w:szCs w:val="20"/>
                          <w:vertAlign w:val="superscript"/>
                        </w:rPr>
                        <w:t>8</w:t>
                      </w:r>
                      <w:r>
                        <w:rPr>
                          <w:rFonts w:ascii="Arial" w:hAnsi="Arial" w:cs="Arial"/>
                          <w:color w:val="1F497D" w:themeColor="text2"/>
                          <w:sz w:val="20"/>
                          <w:szCs w:val="20"/>
                        </w:rPr>
                        <w:t>.</w:t>
                      </w:r>
                    </w:p>
                    <w:p w14:paraId="6F8E8805" w14:textId="7D66E1AB" w:rsidR="00F43BAD" w:rsidRPr="00164E46" w:rsidRDefault="00F43BAD" w:rsidP="007708C5">
                      <w:pPr>
                        <w:spacing w:after="240"/>
                        <w:ind w:left="-284" w:right="-352"/>
                        <w:rPr>
                          <w:rFonts w:ascii="Arial" w:hAnsi="Arial" w:cs="Arial"/>
                          <w:color w:val="1F497D" w:themeColor="text2"/>
                          <w:sz w:val="20"/>
                          <w:szCs w:val="20"/>
                          <w:vertAlign w:val="superscript"/>
                        </w:rPr>
                      </w:pPr>
                      <w:r w:rsidRPr="004C0033">
                        <w:rPr>
                          <w:sz w:val="10"/>
                          <w:szCs w:val="22"/>
                          <w:highlight w:val="yellow"/>
                        </w:rPr>
                        <w:t>(</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472966C1" w14:textId="78A60112" w:rsidR="00164E46" w:rsidRDefault="0001130F" w:rsidP="00143363">
            <w:pPr>
              <w:spacing w:after="40"/>
              <w:ind w:right="34"/>
              <w:jc w:val="both"/>
              <w:rPr>
                <w:rFonts w:ascii="Arial" w:eastAsia="Arial" w:hAnsi="Arial" w:cs="Arial"/>
                <w:sz w:val="20"/>
                <w:szCs w:val="20"/>
              </w:rPr>
            </w:pPr>
            <w:r w:rsidRPr="0001130F">
              <w:rPr>
                <w:rFonts w:ascii="Arial" w:eastAsia="Arial" w:hAnsi="Arial" w:cs="Arial"/>
                <w:sz w:val="20"/>
                <w:szCs w:val="20"/>
              </w:rPr>
              <w:t>As doenças endócrinas, nutricionais e metabólicas (DENM) representam um desafio crescente à saúde pública no Brasil, refletindo a coexistência paradoxal entre a desnutrição persistente e o aumento das doenças crônicas associadas ao estilo de vida. Este estudo teve como objetivo analisar o perfil da mortalidade por DENM no Brasil no período de 2009 a 2024, segundo causa específica, faixa etária, sexo e região geográfica. Trata-se de um estudo epidemiológico descritivo e retrospectivo, baseado em dados secundários do Sistema de Informações sobre Mortalidade (SIM/DATASUS). Foram registrados 233.669 óbitos no período, com predominância de diabetes mellitus (41,7%) e desnutrição (35,3%), afetando majoritariamente idosos (74,5%) e com discreta predominância masculina (50,9%). As regiões Sudeste e Nordeste concentraram a maior parte dos óbitos, revelando disparidades regionais marcadas. Os achados confirmam a dupla carga de morbimortalidade, evidenciando o impacto simultâneo do diabetes e da desnutrição e a necessidade de políticas públicas direcionadas à redução das desigualdades e ao fortalecimento das ações preventivas e assistenciais.</w:t>
            </w:r>
          </w:p>
          <w:p w14:paraId="13840E9F" w14:textId="204AA32C" w:rsidR="00A413E5" w:rsidRPr="00A413E5" w:rsidRDefault="00A413E5" w:rsidP="00143363">
            <w:pPr>
              <w:spacing w:after="40"/>
              <w:ind w:right="34"/>
              <w:jc w:val="both"/>
              <w:rPr>
                <w:rFonts w:ascii="Arial" w:eastAsia="Arial" w:hAnsi="Arial" w:cs="Arial"/>
                <w:sz w:val="20"/>
                <w:szCs w:val="20"/>
              </w:rPr>
            </w:pPr>
            <w:r w:rsidRPr="00A413E5">
              <w:rPr>
                <w:rFonts w:ascii="Arial" w:eastAsia="Arial" w:hAnsi="Arial" w:cs="Arial"/>
                <w:b/>
                <w:sz w:val="20"/>
                <w:szCs w:val="20"/>
              </w:rPr>
              <w:t>Palavras-chave:</w:t>
            </w:r>
            <w:r>
              <w:rPr>
                <w:rFonts w:ascii="Arial" w:eastAsia="Arial" w:hAnsi="Arial" w:cs="Arial"/>
                <w:b/>
                <w:sz w:val="20"/>
                <w:szCs w:val="20"/>
              </w:rPr>
              <w:t xml:space="preserve"> </w:t>
            </w:r>
            <w:r w:rsidR="00851CFF" w:rsidRPr="00A413E5">
              <w:rPr>
                <w:rFonts w:ascii="Arial" w:eastAsia="Arial" w:hAnsi="Arial" w:cs="Arial"/>
                <w:sz w:val="20"/>
                <w:szCs w:val="20"/>
              </w:rPr>
              <w:t>Desnutrição</w:t>
            </w:r>
            <w:r w:rsidR="00851CFF">
              <w:rPr>
                <w:rFonts w:ascii="Arial" w:eastAsia="Arial" w:hAnsi="Arial" w:cs="Arial"/>
                <w:sz w:val="20"/>
                <w:szCs w:val="20"/>
              </w:rPr>
              <w:t>.</w:t>
            </w:r>
            <w:r w:rsidR="001305C1">
              <w:rPr>
                <w:rFonts w:ascii="Arial" w:eastAsia="Arial" w:hAnsi="Arial" w:cs="Arial"/>
                <w:sz w:val="20"/>
                <w:szCs w:val="20"/>
              </w:rPr>
              <w:t xml:space="preserve"> </w:t>
            </w:r>
            <w:r w:rsidR="00851CFF">
              <w:rPr>
                <w:rFonts w:ascii="Arial" w:eastAsia="Arial" w:hAnsi="Arial" w:cs="Arial"/>
                <w:sz w:val="20"/>
                <w:szCs w:val="20"/>
              </w:rPr>
              <w:t xml:space="preserve">Diabetes Mellitus. Doenças Endócrinas. Doenças Metabólicas. </w:t>
            </w:r>
            <w:r w:rsidRPr="00A413E5">
              <w:rPr>
                <w:rFonts w:ascii="Arial" w:eastAsia="Arial" w:hAnsi="Arial" w:cs="Arial"/>
                <w:sz w:val="20"/>
                <w:szCs w:val="20"/>
              </w:rPr>
              <w:t>Mortalidade.</w:t>
            </w:r>
          </w:p>
          <w:p w14:paraId="1A57D9CD" w14:textId="77777777" w:rsidR="000F424B" w:rsidRPr="00391768" w:rsidRDefault="000F424B" w:rsidP="00143363">
            <w:pPr>
              <w:spacing w:after="40"/>
              <w:ind w:right="34"/>
              <w:jc w:val="both"/>
              <w:rPr>
                <w:rFonts w:ascii="Arial" w:eastAsia="Arial" w:hAnsi="Arial" w:cs="Arial"/>
                <w:sz w:val="18"/>
                <w:szCs w:val="18"/>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3A344775" w14:textId="77777777" w:rsidR="00851CFF" w:rsidRPr="00851CFF" w:rsidRDefault="00851CFF" w:rsidP="00851CFF">
            <w:pPr>
              <w:spacing w:after="40"/>
              <w:ind w:right="34"/>
              <w:jc w:val="both"/>
              <w:rPr>
                <w:rFonts w:ascii="Arial" w:eastAsia="Calibri" w:hAnsi="Arial" w:cs="Arial"/>
                <w:color w:val="000000"/>
                <w:sz w:val="20"/>
                <w:szCs w:val="20"/>
                <w:lang w:val="en-US"/>
              </w:rPr>
            </w:pPr>
            <w:r w:rsidRPr="00851CFF">
              <w:rPr>
                <w:rFonts w:ascii="Arial" w:eastAsia="Calibri" w:hAnsi="Arial" w:cs="Arial"/>
                <w:color w:val="000000"/>
                <w:sz w:val="20"/>
                <w:szCs w:val="20"/>
                <w:lang w:val="en-US"/>
              </w:rPr>
              <w:t>Endocrine, nutritional, and metabolic diseases (ENMD) represent a growing challenge to public health in Brazil, reflecting the paradoxical coexistence of persistent malnutrition and an increase in chronic diseases associated with lifestyle. This study aimed to analyze the profile of mortality from ENDM in Brazil from 2009 to 2024, according to specific cause, age group, sex, and geographic region. This is a descriptive and retrospective epidemiological study based on secondary data from the Mortality Information System (SIM/DATASUS). A total of 233,669 deaths were recorded during the period, with a predominance of diabetes mellitus (41.7%) and malnutrition (35.3%), affecting mainly the elderly (74.5%) and with a slight predominance of males (50.9%). The Southeast and Northeast regions accounted for most of the deaths, revealing marked regional disparities. The findings confirm the double burden of morbidity and mortality, highlighting the simultaneous impact of diabetes and malnutrition and the need for public policies aimed at reducing inequalities and strengthening preventive and care actions.</w:t>
            </w:r>
          </w:p>
          <w:p w14:paraId="5352C099" w14:textId="5099CF8B" w:rsidR="007B1DCD" w:rsidRPr="00F43BAD" w:rsidRDefault="007B14C2" w:rsidP="001E0F1B">
            <w:pPr>
              <w:spacing w:after="40"/>
              <w:ind w:right="34"/>
              <w:jc w:val="both"/>
              <w:rPr>
                <w:rFonts w:ascii="Arial" w:hAnsi="Arial" w:cs="Arial"/>
                <w:b/>
                <w:bCs/>
                <w:color w:val="212529"/>
                <w:sz w:val="18"/>
                <w:szCs w:val="18"/>
                <w:shd w:val="clear" w:color="auto" w:fill="FFFFFF"/>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F43BAD" w:rsidRPr="003A6BDF">
              <w:rPr>
                <w:rFonts w:ascii="Arial" w:hAnsi="Arial" w:cs="Arial"/>
                <w:bCs/>
                <w:color w:val="212529"/>
                <w:sz w:val="20"/>
                <w:szCs w:val="20"/>
                <w:shd w:val="clear" w:color="auto" w:fill="FFFFFF"/>
                <w:lang w:val="en-US"/>
              </w:rPr>
              <w:t xml:space="preserve">Malnutrition. Diabetes Mellitus. Endocrine System Diseases. </w:t>
            </w:r>
            <w:r w:rsidR="00F43BAD" w:rsidRPr="00F43BAD">
              <w:rPr>
                <w:rFonts w:ascii="Arial" w:hAnsi="Arial" w:cs="Arial"/>
                <w:bCs/>
                <w:color w:val="212529"/>
                <w:sz w:val="20"/>
                <w:szCs w:val="20"/>
              </w:rPr>
              <w:t>Metabolic Diseases</w:t>
            </w:r>
            <w:r w:rsidR="00F43BAD" w:rsidRPr="00F43BAD">
              <w:rPr>
                <w:rFonts w:ascii="Arial" w:hAnsi="Arial" w:cs="Arial"/>
                <w:bCs/>
                <w:color w:val="212529"/>
                <w:sz w:val="20"/>
                <w:szCs w:val="20"/>
                <w:shd w:val="clear" w:color="auto" w:fill="FFFFFF"/>
              </w:rPr>
              <w:t xml:space="preserve">. </w:t>
            </w:r>
            <w:r w:rsidR="001305C1" w:rsidRPr="00F43BAD">
              <w:rPr>
                <w:rFonts w:ascii="Arial" w:hAnsi="Arial" w:cs="Arial"/>
                <w:bCs/>
                <w:color w:val="212529"/>
                <w:sz w:val="20"/>
                <w:szCs w:val="20"/>
                <w:shd w:val="clear" w:color="auto" w:fill="FFFFFF"/>
              </w:rPr>
              <w:t>Mortality</w:t>
            </w:r>
            <w:r w:rsidR="00F43BAD" w:rsidRPr="00F43BAD">
              <w:rPr>
                <w:rFonts w:ascii="Arial" w:hAnsi="Arial" w:cs="Arial"/>
                <w:bCs/>
                <w:color w:val="212529"/>
                <w:sz w:val="20"/>
                <w:szCs w:val="20"/>
                <w:shd w:val="clear" w:color="auto" w:fill="FFFFFF"/>
              </w:rPr>
              <w:t>.</w:t>
            </w:r>
          </w:p>
          <w:p w14:paraId="28B38720" w14:textId="77777777" w:rsidR="007B1DCD" w:rsidRDefault="007B1DCD" w:rsidP="00F26869">
            <w:pPr>
              <w:spacing w:after="40"/>
              <w:ind w:right="34"/>
              <w:jc w:val="both"/>
              <w:rPr>
                <w:rFonts w:ascii="Arial" w:hAnsi="Arial" w:cs="Arial"/>
                <w:color w:val="000000"/>
                <w:sz w:val="20"/>
                <w:szCs w:val="20"/>
              </w:rPr>
            </w:pPr>
          </w:p>
          <w:p w14:paraId="0A538C6D" w14:textId="77777777" w:rsidR="007B1DCD" w:rsidRDefault="007B1DCD" w:rsidP="00F26869">
            <w:pPr>
              <w:spacing w:after="40"/>
              <w:ind w:right="34"/>
              <w:jc w:val="both"/>
              <w:rPr>
                <w:rFonts w:ascii="Arial" w:hAnsi="Arial" w:cs="Arial"/>
                <w:color w:val="000000"/>
                <w:sz w:val="20"/>
                <w:szCs w:val="20"/>
              </w:rPr>
            </w:pPr>
          </w:p>
          <w:p w14:paraId="423EF51C" w14:textId="77777777" w:rsidR="007B1DCD" w:rsidRDefault="007B1DCD" w:rsidP="00F26869">
            <w:pPr>
              <w:spacing w:after="40"/>
              <w:ind w:right="34"/>
              <w:jc w:val="both"/>
              <w:rPr>
                <w:rFonts w:ascii="Arial" w:hAnsi="Arial" w:cs="Arial"/>
                <w:color w:val="000000"/>
                <w:sz w:val="20"/>
                <w:szCs w:val="20"/>
              </w:rPr>
            </w:pPr>
          </w:p>
          <w:p w14:paraId="044DFFE7" w14:textId="77777777" w:rsidR="007B1DCD" w:rsidRDefault="007B1DCD" w:rsidP="00F26869">
            <w:pPr>
              <w:spacing w:after="40"/>
              <w:ind w:right="34"/>
              <w:jc w:val="both"/>
              <w:rPr>
                <w:rFonts w:ascii="Arial" w:hAnsi="Arial" w:cs="Arial"/>
                <w:color w:val="000000"/>
                <w:sz w:val="20"/>
                <w:szCs w:val="20"/>
              </w:rPr>
            </w:pPr>
          </w:p>
          <w:p w14:paraId="2F612F96" w14:textId="12EDAF0E" w:rsidR="001E0F1B" w:rsidRPr="00442DA0" w:rsidRDefault="001E0F1B" w:rsidP="00F26869">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6B36FC">
          <w:headerReference w:type="default" r:id="rId9"/>
          <w:footerReference w:type="default" r:id="rId10"/>
          <w:type w:val="continuous"/>
          <w:pgSz w:w="11906" w:h="16838" w:code="9"/>
          <w:pgMar w:top="1134" w:right="1134" w:bottom="1134" w:left="1134" w:header="851" w:footer="510" w:gutter="0"/>
          <w:pgNumType w:start="169"/>
          <w:cols w:space="708"/>
          <w:docGrid w:linePitch="360"/>
        </w:sectPr>
      </w:pPr>
    </w:p>
    <w:p w14:paraId="722A3794" w14:textId="5ACF04EB" w:rsidR="009B3BC4" w:rsidRPr="00DA00A0" w:rsidRDefault="00F3588D" w:rsidP="001A1C79">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2F00AA">
        <w:rPr>
          <w:rFonts w:ascii="Arial" w:hAnsi="Arial" w:cs="Arial"/>
          <w:b/>
          <w:color w:val="FFFFFF" w:themeColor="background1"/>
          <w:szCs w:val="20"/>
        </w:rPr>
        <w:t>INTRODUÇÃO</w:t>
      </w:r>
    </w:p>
    <w:p w14:paraId="433ACAA1" w14:textId="77777777" w:rsidR="002C3303" w:rsidRDefault="002C3303" w:rsidP="002C3303">
      <w:pPr>
        <w:spacing w:line="360" w:lineRule="auto"/>
        <w:ind w:firstLine="720"/>
        <w:jc w:val="both"/>
        <w:rPr>
          <w:rFonts w:ascii="Arial" w:hAnsi="Arial" w:cs="Arial"/>
          <w:color w:val="000000"/>
        </w:rPr>
      </w:pPr>
    </w:p>
    <w:p w14:paraId="27EFA910" w14:textId="2C394F94" w:rsidR="0021024B" w:rsidRDefault="002C3303" w:rsidP="0021024B">
      <w:pPr>
        <w:spacing w:line="360" w:lineRule="auto"/>
        <w:ind w:firstLine="720"/>
        <w:jc w:val="both"/>
      </w:pPr>
      <w:r w:rsidRPr="002C3303">
        <w:rPr>
          <w:rFonts w:ascii="Arial" w:hAnsi="Arial" w:cs="Arial"/>
          <w:color w:val="000000"/>
        </w:rPr>
        <w:t>As doenças endócrinas, nutricionais e metabólicas (DENM) constituem expressivo desafio para a saúde pública no Brasil, figurando como a quinta principal causa de morte e demonstrando preocupante tendência d</w:t>
      </w:r>
      <w:r w:rsidR="00267D2A">
        <w:rPr>
          <w:rFonts w:ascii="Arial" w:hAnsi="Arial" w:cs="Arial"/>
          <w:color w:val="000000"/>
        </w:rPr>
        <w:t>e crescimento na última década</w:t>
      </w:r>
      <w:r w:rsidRPr="002C3303">
        <w:rPr>
          <w:rFonts w:ascii="Arial" w:hAnsi="Arial" w:cs="Arial"/>
          <w:color w:val="000000"/>
        </w:rPr>
        <w:t>.</w:t>
      </w:r>
      <w:r w:rsidR="006F639B">
        <w:rPr>
          <w:rFonts w:ascii="Arial" w:hAnsi="Arial" w:cs="Arial"/>
          <w:color w:val="000000"/>
        </w:rPr>
        <w:t>¹</w:t>
      </w:r>
      <w:r w:rsidRPr="002C3303">
        <w:rPr>
          <w:rFonts w:ascii="Arial" w:hAnsi="Arial" w:cs="Arial"/>
          <w:color w:val="000000"/>
        </w:rPr>
        <w:t xml:space="preserve"> Este heterogêneo grupo de agravos, que abrange desde patologias crônicas de alta prevalência, como o diabetes mellitus e a obesidade, até condições persistentes de carência, como a desnutrição, reflete as complexas e desiguais transformações sociais e epidemiológicas do país. O cenário brasileiro é marcado p</w:t>
      </w:r>
      <w:r w:rsidR="00111874">
        <w:rPr>
          <w:rFonts w:ascii="Arial" w:hAnsi="Arial" w:cs="Arial"/>
          <w:color w:val="000000"/>
        </w:rPr>
        <w:t>elo</w:t>
      </w:r>
      <w:r w:rsidRPr="002C3303">
        <w:rPr>
          <w:rFonts w:ascii="Arial" w:hAnsi="Arial" w:cs="Arial"/>
          <w:color w:val="000000"/>
        </w:rPr>
        <w:t xml:space="preserve"> fenômeno de transição nutricional, no qual coexistem, de forma paradoxal, o aumento de doenças associadas a dietas inadequadas e ao sedentarismo e a persistência de quadros de desnutrição em segm</w:t>
      </w:r>
      <w:r w:rsidR="006F639B">
        <w:rPr>
          <w:rFonts w:ascii="Arial" w:hAnsi="Arial" w:cs="Arial"/>
          <w:color w:val="000000"/>
        </w:rPr>
        <w:t xml:space="preserve">entos populacionais </w:t>
      </w:r>
      <w:r w:rsidR="001A42F3">
        <w:rPr>
          <w:rFonts w:ascii="Arial" w:hAnsi="Arial" w:cs="Arial"/>
          <w:color w:val="000000"/>
        </w:rPr>
        <w:t>vulneráveis.²</w:t>
      </w:r>
      <w:r w:rsidR="001A42F3">
        <w:rPr>
          <w:rFonts w:ascii="Arial" w:hAnsi="Arial" w:cs="Arial"/>
          <w:color w:val="000000"/>
          <w:vertAlign w:val="superscript"/>
        </w:rPr>
        <w:t>,</w:t>
      </w:r>
      <w:r w:rsidR="00F9115B">
        <w:rPr>
          <w:rFonts w:ascii="Arial" w:hAnsi="Arial" w:cs="Arial"/>
          <w:color w:val="000000"/>
        </w:rPr>
        <w:t>³</w:t>
      </w:r>
      <w:r w:rsidR="006F639B">
        <w:rPr>
          <w:rFonts w:ascii="Arial" w:hAnsi="Arial" w:cs="Arial"/>
          <w:color w:val="000000"/>
        </w:rPr>
        <w:t xml:space="preserve"> </w:t>
      </w:r>
      <w:r w:rsidRPr="002C3303">
        <w:rPr>
          <w:rFonts w:ascii="Arial" w:hAnsi="Arial" w:cs="Arial"/>
          <w:color w:val="000000"/>
        </w:rPr>
        <w:t>Essa dualidade de perfis de morbimortalidade impõe demandas complexas ao sistema de saúde e evidencia a necessidade de compreender a magnitude e as características desses óbitos.</w:t>
      </w:r>
    </w:p>
    <w:p w14:paraId="2225EB57" w14:textId="0E4DAD75" w:rsidR="002C3303" w:rsidRPr="005C3A8C" w:rsidRDefault="002C3303" w:rsidP="0021024B">
      <w:pPr>
        <w:spacing w:line="360" w:lineRule="auto"/>
        <w:ind w:firstLine="720"/>
        <w:jc w:val="both"/>
        <w:rPr>
          <w:vertAlign w:val="superscript"/>
        </w:rPr>
      </w:pPr>
      <w:r w:rsidRPr="002C3303">
        <w:rPr>
          <w:rFonts w:ascii="Arial" w:hAnsi="Arial" w:cs="Arial"/>
          <w:color w:val="000000"/>
        </w:rPr>
        <w:t>O problema central investigado neste trabalho é a caracterização da mortalidade por DENM em contexto de profundas desigualdades. Estudos demonstram que, mesmo em períodos nos quais o Brasil obteve sucesso na redução da mortalidade por outras causas crônicas, como as doenças do aparelho circulatório, a mortalidade por DENM manteve-se em ascensão, posicionando este grupo como desafio de saúde pública crescente e ainda não superado.</w:t>
      </w:r>
      <w:r w:rsidR="002D70F4">
        <w:rPr>
          <w:rFonts w:ascii="Arial" w:hAnsi="Arial" w:cs="Arial"/>
          <w:color w:val="000000"/>
          <w:vertAlign w:val="superscript"/>
        </w:rPr>
        <w:t>4,5</w:t>
      </w:r>
      <w:r w:rsidRPr="002C3303">
        <w:rPr>
          <w:rFonts w:ascii="Arial" w:hAnsi="Arial" w:cs="Arial"/>
          <w:color w:val="000000"/>
        </w:rPr>
        <w:t xml:space="preserve"> A literatura científica tem se debruçado sobre componentes específicos deste grupo, com robustas análises sobre o impacto do diabetes mellitus, cujas projeções futuras são </w:t>
      </w:r>
      <w:r w:rsidR="00040B9B">
        <w:rPr>
          <w:rFonts w:ascii="Arial" w:hAnsi="Arial" w:cs="Arial"/>
          <w:color w:val="000000"/>
        </w:rPr>
        <w:t>alarmantes</w:t>
      </w:r>
      <w:r w:rsidR="00040B9B">
        <w:rPr>
          <w:rFonts w:ascii="Arial" w:hAnsi="Arial" w:cs="Arial"/>
          <w:color w:val="000000"/>
          <w:vertAlign w:val="superscript"/>
        </w:rPr>
        <w:t xml:space="preserve"> 6,7</w:t>
      </w:r>
      <w:r w:rsidRPr="002C3303">
        <w:rPr>
          <w:rFonts w:ascii="Arial" w:hAnsi="Arial" w:cs="Arial"/>
          <w:color w:val="000000"/>
        </w:rPr>
        <w:t>, e sobre a persistência da desnutrição, especialmente em crianças e idosos nas regi</w:t>
      </w:r>
      <w:r w:rsidR="005C3A8C">
        <w:rPr>
          <w:rFonts w:ascii="Arial" w:hAnsi="Arial" w:cs="Arial"/>
          <w:color w:val="000000"/>
        </w:rPr>
        <w:t>ões mais pobres do país</w:t>
      </w:r>
      <w:r w:rsidRPr="002C3303">
        <w:rPr>
          <w:rFonts w:ascii="Arial" w:hAnsi="Arial" w:cs="Arial"/>
          <w:color w:val="000000"/>
        </w:rPr>
        <w:t>.</w:t>
      </w:r>
      <w:r w:rsidR="005C3A8C">
        <w:rPr>
          <w:rFonts w:ascii="Arial" w:hAnsi="Arial" w:cs="Arial"/>
          <w:color w:val="000000"/>
          <w:vertAlign w:val="superscript"/>
        </w:rPr>
        <w:t>8,9</w:t>
      </w:r>
    </w:p>
    <w:p w14:paraId="38237231" w14:textId="1CD4ABBD" w:rsidR="002C3303" w:rsidRPr="006A5E5B" w:rsidRDefault="002C3303" w:rsidP="006A5E5B">
      <w:pPr>
        <w:spacing w:line="360" w:lineRule="auto"/>
        <w:ind w:firstLine="720"/>
        <w:jc w:val="both"/>
        <w:rPr>
          <w:rFonts w:ascii="Arial" w:hAnsi="Arial" w:cs="Arial"/>
          <w:color w:val="000000"/>
        </w:rPr>
      </w:pPr>
      <w:r w:rsidRPr="002C3303">
        <w:rPr>
          <w:rFonts w:ascii="Arial" w:hAnsi="Arial" w:cs="Arial"/>
          <w:color w:val="000000"/>
        </w:rPr>
        <w:t xml:space="preserve">A justificativa para a realização deste estudo reside na lacuna existente na literatura quanto </w:t>
      </w:r>
      <w:r w:rsidR="006A5E5B">
        <w:rPr>
          <w:rFonts w:ascii="Arial" w:hAnsi="Arial" w:cs="Arial"/>
          <w:color w:val="000000"/>
        </w:rPr>
        <w:t>à</w:t>
      </w:r>
      <w:r w:rsidRPr="002C3303">
        <w:rPr>
          <w:rFonts w:ascii="Arial" w:hAnsi="Arial" w:cs="Arial"/>
          <w:color w:val="000000"/>
        </w:rPr>
        <w:t xml:space="preserve"> análise integrada que abarque o conjunto das doenças endócrinas, nutricionais e metabólicas em longa e recente série histórica. Investigações anteriores frequentemente se concentram em patologia</w:t>
      </w:r>
      <w:r w:rsidR="00874C7C">
        <w:rPr>
          <w:rFonts w:ascii="Arial" w:hAnsi="Arial" w:cs="Arial"/>
          <w:color w:val="000000"/>
        </w:rPr>
        <w:t xml:space="preserve"> específica</w:t>
      </w:r>
      <w:r w:rsidRPr="002C3303">
        <w:rPr>
          <w:rFonts w:ascii="Arial" w:hAnsi="Arial" w:cs="Arial"/>
          <w:color w:val="000000"/>
        </w:rPr>
        <w:t xml:space="preserve"> ou em período de tempo mais curto, o que limita a visão panorâmica da dinâmica e </w:t>
      </w:r>
      <w:r w:rsidR="00874C7C">
        <w:rPr>
          <w:rFonts w:ascii="Arial" w:hAnsi="Arial" w:cs="Arial"/>
          <w:color w:val="000000"/>
        </w:rPr>
        <w:t>a</w:t>
      </w:r>
      <w:r w:rsidRPr="002C3303">
        <w:rPr>
          <w:rFonts w:ascii="Arial" w:hAnsi="Arial" w:cs="Arial"/>
          <w:color w:val="000000"/>
        </w:rPr>
        <w:t xml:space="preserve"> interação entre as diferentes causas de morte que compõem o grupo. Compreender o perfil completo da mortalidade por DENM, identificando as principais causas, os grupos demográficos mais vulneráveis e as disparidades geográficas, é fundamental para subsidiar o planejamento de políticas públicas mais eficazes e equânimes, que possam responder de forma adequada tanto aos desafios das doenças crônicas quanto à persistência das doenças carenciais.</w:t>
      </w:r>
    </w:p>
    <w:p w14:paraId="27589F8F" w14:textId="2F8E3C4C" w:rsidR="002C3303" w:rsidRDefault="002C3303" w:rsidP="002C3303">
      <w:pPr>
        <w:spacing w:line="360" w:lineRule="auto"/>
        <w:ind w:firstLine="720"/>
        <w:jc w:val="both"/>
      </w:pPr>
      <w:r w:rsidRPr="002C3303">
        <w:rPr>
          <w:rFonts w:ascii="Arial" w:hAnsi="Arial" w:cs="Arial"/>
          <w:color w:val="000000"/>
        </w:rPr>
        <w:lastRenderedPageBreak/>
        <w:t xml:space="preserve">Nesse contexto, a pesquisa partiu das seguintes hipóteses: (i) o perfil da mortalidade por DENM no Brasil é predominantemente impulsionado pela dupla carga do diabetes mellitus, como expoente da transição epidemiológica, e da desnutrição, como marcador de vulnerabilidade social persistente; (ii) existem disparidades regionais significativas na distribuição dos óbitos, refletindo as desigualdades </w:t>
      </w:r>
      <w:r w:rsidR="006A5E5B">
        <w:rPr>
          <w:rFonts w:ascii="Arial" w:hAnsi="Arial" w:cs="Arial"/>
          <w:color w:val="000000"/>
        </w:rPr>
        <w:t>socioeconômicas do país, com</w:t>
      </w:r>
      <w:r w:rsidRPr="002C3303">
        <w:rPr>
          <w:rFonts w:ascii="Arial" w:hAnsi="Arial" w:cs="Arial"/>
          <w:color w:val="000000"/>
        </w:rPr>
        <w:t xml:space="preserve"> concentração da mortalidade nas regiões Sudeste e Nordeste; e (iii) a população idosa constitui o grupo demográfico de maior risco para a mortalidade por essas</w:t>
      </w:r>
      <w:r>
        <w:rPr>
          <w:rFonts w:ascii="Arial" w:hAnsi="Arial" w:cs="Arial"/>
          <w:color w:val="000000"/>
        </w:rPr>
        <w:t xml:space="preserve"> causas, devido ao acúmulo de </w:t>
      </w:r>
      <w:r w:rsidRPr="002C3303">
        <w:rPr>
          <w:rFonts w:ascii="Arial" w:hAnsi="Arial" w:cs="Arial"/>
          <w:color w:val="000000"/>
        </w:rPr>
        <w:t>morbidades e à maior fragilidade fisiológica.</w:t>
      </w:r>
    </w:p>
    <w:p w14:paraId="5D100F46" w14:textId="0C5142BA" w:rsidR="007B2067" w:rsidRPr="00A86D7C" w:rsidRDefault="002C3303" w:rsidP="00A86D7C">
      <w:pPr>
        <w:spacing w:line="360" w:lineRule="auto"/>
        <w:ind w:firstLine="720"/>
        <w:jc w:val="both"/>
      </w:pPr>
      <w:r w:rsidRPr="002C3303">
        <w:rPr>
          <w:rFonts w:ascii="Arial" w:hAnsi="Arial" w:cs="Arial"/>
          <w:color w:val="000000"/>
        </w:rPr>
        <w:t>Diante do exposto, o presente estudo tem como objetivo analisar o perfil da mortalidade por doenças do capítulo IV da Classificação Internacional de Doenças (CID-10) no Brasil, no período de 2009 a 2024, com enfoque nas causas específicas de morte, nas distribuições por faixa etária e gênero, e nas diferenças entre as grandes regiões do país.</w:t>
      </w:r>
    </w:p>
    <w:p w14:paraId="06923199" w14:textId="6F7DAC08" w:rsidR="00D122E3" w:rsidRPr="00A029FC" w:rsidRDefault="0048246B" w:rsidP="001A1C79">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62A21D08" w14:textId="77777777" w:rsidR="00A029FC" w:rsidRDefault="00A029FC" w:rsidP="00A029FC">
      <w:pPr>
        <w:spacing w:line="360" w:lineRule="auto"/>
        <w:ind w:firstLine="720"/>
        <w:jc w:val="both"/>
        <w:rPr>
          <w:rFonts w:ascii="Arial" w:hAnsi="Arial" w:cs="Arial"/>
          <w:color w:val="000000"/>
        </w:rPr>
      </w:pPr>
    </w:p>
    <w:p w14:paraId="759B1AE5" w14:textId="6137B95B" w:rsidR="002C3303" w:rsidRPr="002C3303" w:rsidRDefault="002C3303" w:rsidP="00A029FC">
      <w:pPr>
        <w:spacing w:line="360" w:lineRule="auto"/>
        <w:ind w:firstLine="720"/>
        <w:jc w:val="both"/>
      </w:pPr>
      <w:r>
        <w:rPr>
          <w:rFonts w:ascii="Arial" w:hAnsi="Arial" w:cs="Arial"/>
          <w:color w:val="000000"/>
        </w:rPr>
        <w:t>T</w:t>
      </w:r>
      <w:r w:rsidRPr="002C3303">
        <w:rPr>
          <w:rFonts w:ascii="Arial" w:hAnsi="Arial" w:cs="Arial"/>
          <w:color w:val="000000"/>
        </w:rPr>
        <w:t>rata-se de</w:t>
      </w:r>
      <w:r w:rsidR="00874C7C">
        <w:rPr>
          <w:rFonts w:ascii="Arial" w:hAnsi="Arial" w:cs="Arial"/>
          <w:color w:val="000000"/>
        </w:rPr>
        <w:t xml:space="preserve"> </w:t>
      </w:r>
      <w:r w:rsidRPr="002C3303">
        <w:rPr>
          <w:rFonts w:ascii="Arial" w:hAnsi="Arial" w:cs="Arial"/>
          <w:color w:val="000000"/>
        </w:rPr>
        <w:t xml:space="preserve">estudo epidemiológico </w:t>
      </w:r>
      <w:r w:rsidR="00874C7C">
        <w:rPr>
          <w:rFonts w:ascii="Arial" w:hAnsi="Arial" w:cs="Arial"/>
          <w:color w:val="000000"/>
        </w:rPr>
        <w:t>com</w:t>
      </w:r>
      <w:r w:rsidRPr="002C3303">
        <w:rPr>
          <w:rFonts w:ascii="Arial" w:hAnsi="Arial" w:cs="Arial"/>
          <w:color w:val="000000"/>
        </w:rPr>
        <w:t xml:space="preserve"> caráter observacional, descritivo e retrospectivo, realizado a partir de dados secundários de domínio público. A população do estudo foi composta pela totalidade dos óbitos registrados no Brasil, tendo como período de realização a série histórica de 2009 a 2024.</w:t>
      </w:r>
    </w:p>
    <w:p w14:paraId="5A63B515" w14:textId="674E16BB" w:rsidR="002C3303" w:rsidRPr="002C3303" w:rsidRDefault="002C3303" w:rsidP="00A029FC">
      <w:pPr>
        <w:spacing w:line="360" w:lineRule="auto"/>
        <w:ind w:firstLine="720"/>
        <w:jc w:val="both"/>
      </w:pPr>
      <w:r w:rsidRPr="002C3303">
        <w:rPr>
          <w:rFonts w:ascii="Arial" w:hAnsi="Arial" w:cs="Arial"/>
          <w:color w:val="000000"/>
        </w:rPr>
        <w:t>As informações foram obtidas por meio de busca no portal do Departamento de Informática do Sistema Único de Saúde (DATASUS)</w:t>
      </w:r>
      <w:r w:rsidR="00EB0DAF">
        <w:rPr>
          <w:rFonts w:ascii="Arial" w:hAnsi="Arial" w:cs="Arial"/>
          <w:color w:val="000000"/>
          <w:vertAlign w:val="superscript"/>
        </w:rPr>
        <w:t>10</w:t>
      </w:r>
      <w:r w:rsidRPr="002C3303">
        <w:rPr>
          <w:rFonts w:ascii="Arial" w:hAnsi="Arial" w:cs="Arial"/>
          <w:color w:val="000000"/>
        </w:rPr>
        <w:t>, plataforma oficial de dados do Ministério da Saúde do Brasil. A coleta foi realizada utilizando o Sistema de Informações sobre Mortalidade (SIM), que compila as informações das Declarações de Óbito preenchidas em todo o território nacional.</w:t>
      </w:r>
    </w:p>
    <w:p w14:paraId="3E26C411" w14:textId="77777777" w:rsidR="002C3303" w:rsidRPr="002C3303" w:rsidRDefault="002C3303" w:rsidP="00A029FC">
      <w:pPr>
        <w:spacing w:line="360" w:lineRule="auto"/>
        <w:ind w:firstLine="720"/>
        <w:jc w:val="both"/>
      </w:pPr>
      <w:r w:rsidRPr="002C3303">
        <w:rPr>
          <w:rFonts w:ascii="Arial" w:hAnsi="Arial" w:cs="Arial"/>
          <w:color w:val="000000"/>
        </w:rPr>
        <w:t>Os critérios de inclusão definidos para a seleção dos dados foram: todos os registros de óbito ocorridos no Brasil entre os anos de 2009 e 2024, cuja causa básica do óbito estivesse classificada no Capítulo IV da 10ª Revisão da Classificação Estatística Internacional de Doenças e Problemas Relacionados com a Saúde (CID-10), correspondente às “Doenças Endócrinas, Nutricionais e Metabólicas”. Foram excluídos da análise os óbitos registrados fora do período estipulado ou cuja causa básica pertencesse a outros capítulos da CID-10.</w:t>
      </w:r>
    </w:p>
    <w:p w14:paraId="703C870E" w14:textId="77777777" w:rsidR="002C3303" w:rsidRPr="002C3303" w:rsidRDefault="002C3303" w:rsidP="00A029FC">
      <w:pPr>
        <w:spacing w:line="360" w:lineRule="auto"/>
        <w:ind w:firstLine="720"/>
        <w:jc w:val="both"/>
      </w:pPr>
      <w:r w:rsidRPr="002C3303">
        <w:rPr>
          <w:rFonts w:ascii="Arial" w:hAnsi="Arial" w:cs="Arial"/>
          <w:color w:val="000000"/>
        </w:rPr>
        <w:t xml:space="preserve">Não foi realizado cálculo amostral, uma vez que o estudo trabalhou com o universo total de óbitos que atenderam aos critérios de inclusão no período, constituindo um censo de 233.669 registros. O procedimento metodológico para a coleta consistiu no acesso à </w:t>
      </w:r>
      <w:r w:rsidRPr="002C3303">
        <w:rPr>
          <w:rFonts w:ascii="Arial" w:hAnsi="Arial" w:cs="Arial"/>
          <w:color w:val="000000"/>
        </w:rPr>
        <w:lastRenderedPageBreak/>
        <w:t>plataforma TABNET do DATASUS, onde os dados foram tabulados e exportados em formato de planilha eletrônica.</w:t>
      </w:r>
    </w:p>
    <w:p w14:paraId="5D161DD8" w14:textId="77777777" w:rsidR="002C3303" w:rsidRPr="002C3303" w:rsidRDefault="002C3303" w:rsidP="00A029FC">
      <w:pPr>
        <w:spacing w:line="360" w:lineRule="auto"/>
        <w:ind w:firstLine="720"/>
        <w:jc w:val="both"/>
      </w:pPr>
      <w:r w:rsidRPr="002C3303">
        <w:rPr>
          <w:rFonts w:ascii="Arial" w:hAnsi="Arial" w:cs="Arial"/>
          <w:color w:val="000000"/>
        </w:rPr>
        <w:t>As variáveis coletadas para análise foram: causa específica do óbito (subcategorias da CID-10 dentro do Capítulo IV), ano do óbito, região de residência, faixa etária, sexo e raça/cor. A metodologia de análise dos dados foi de natureza descritiva, com o cálculo de frequências absolutas e relativas para as variáveis categóricas. Foram calculadas a média anual de óbitos e o desvio padrão para avaliar a dispersão dos dados ao longo do período. Os resultados foram organizados e apresentados em tabelas e gráficos para facilitar a visualização e interpretação dos achados.</w:t>
      </w:r>
    </w:p>
    <w:p w14:paraId="3483C7C1" w14:textId="326EE6C1" w:rsidR="002C3303" w:rsidRPr="002C3303" w:rsidRDefault="002C3303" w:rsidP="00A029FC">
      <w:pPr>
        <w:spacing w:line="360" w:lineRule="auto"/>
        <w:ind w:firstLine="720"/>
        <w:jc w:val="both"/>
      </w:pPr>
      <w:r w:rsidRPr="002C3303">
        <w:rPr>
          <w:rFonts w:ascii="Arial" w:hAnsi="Arial" w:cs="Arial"/>
          <w:color w:val="000000"/>
        </w:rPr>
        <w:t xml:space="preserve">Por </w:t>
      </w:r>
      <w:r w:rsidR="00874C7C">
        <w:rPr>
          <w:rFonts w:ascii="Arial" w:hAnsi="Arial" w:cs="Arial"/>
          <w:color w:val="000000"/>
        </w:rPr>
        <w:t>tratar-se</w:t>
      </w:r>
      <w:r w:rsidRPr="002C3303">
        <w:rPr>
          <w:rFonts w:ascii="Arial" w:hAnsi="Arial" w:cs="Arial"/>
          <w:color w:val="000000"/>
        </w:rPr>
        <w:t xml:space="preserve"> de pesquisa cujas informações foram obtidas em materiais de domínio público, já publicados e disponibilizados na literatura e em sistemas de informação oficiais, de forma agregada e anonimizada, não houve intervenção ou abordagem direta a seres humanos. Portanto, o presente estudo dispensou a necessidade de submissão e aprovação </w:t>
      </w:r>
      <w:r w:rsidR="00874C7C">
        <w:rPr>
          <w:rFonts w:ascii="Arial" w:hAnsi="Arial" w:cs="Arial"/>
          <w:color w:val="000000"/>
        </w:rPr>
        <w:t>pelo</w:t>
      </w:r>
      <w:r w:rsidRPr="002C3303">
        <w:rPr>
          <w:rFonts w:ascii="Arial" w:hAnsi="Arial" w:cs="Arial"/>
          <w:color w:val="000000"/>
        </w:rPr>
        <w:t xml:space="preserve"> Comitê de Ética em Pesquisa (CEP), conforme as diretrizes da Resolução nº 510/2016 do Conselho Nacional de Saúde.</w:t>
      </w:r>
    </w:p>
    <w:p w14:paraId="62780EBA" w14:textId="77777777" w:rsidR="00D122E3" w:rsidRDefault="00D122E3" w:rsidP="00D122E3">
      <w:pPr>
        <w:ind w:firstLine="567"/>
        <w:jc w:val="both"/>
        <w:rPr>
          <w:rFonts w:cs="Arial"/>
          <w:b/>
        </w:rPr>
      </w:pPr>
      <w:r w:rsidRPr="00B55B77">
        <w:rPr>
          <w:rFonts w:ascii="Arial" w:hAnsi="Arial" w:cs="Arial"/>
          <w:color w:val="000000"/>
          <w:sz w:val="20"/>
          <w:szCs w:val="20"/>
        </w:rPr>
        <w:t xml:space="preserve"> </w:t>
      </w:r>
    </w:p>
    <w:p w14:paraId="69A3390E" w14:textId="755B6A87" w:rsidR="00651574" w:rsidRPr="00E35960" w:rsidRDefault="00B035D1" w:rsidP="00E35960">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762ABA63" w14:textId="7A28A0EA" w:rsidR="00A029FC" w:rsidRDefault="00A029FC" w:rsidP="001A1C79">
      <w:pPr>
        <w:pStyle w:val="NormalWeb"/>
        <w:spacing w:before="240" w:beforeAutospacing="0" w:after="240" w:afterAutospacing="0" w:line="360" w:lineRule="auto"/>
        <w:ind w:firstLine="720"/>
        <w:jc w:val="both"/>
      </w:pPr>
      <w:r>
        <w:rPr>
          <w:rFonts w:ascii="Arial" w:hAnsi="Arial" w:cs="Arial"/>
          <w:color w:val="000000"/>
          <w:shd w:val="clear" w:color="auto" w:fill="FFFFFF"/>
        </w:rPr>
        <w:t xml:space="preserve">No período analisado, foram registrados 233.669 óbitos por doenças endócrinas, nutricionais e metabólicas no Brasil, correspondendo </w:t>
      </w:r>
      <w:r w:rsidR="00E014C2">
        <w:rPr>
          <w:rFonts w:ascii="Arial" w:hAnsi="Arial" w:cs="Arial"/>
          <w:color w:val="000000"/>
          <w:shd w:val="clear" w:color="auto" w:fill="FFFFFF"/>
        </w:rPr>
        <w:t>à</w:t>
      </w:r>
      <w:r>
        <w:rPr>
          <w:rFonts w:ascii="Arial" w:hAnsi="Arial" w:cs="Arial"/>
          <w:color w:val="000000"/>
          <w:shd w:val="clear" w:color="auto" w:fill="FFFFFF"/>
        </w:rPr>
        <w:t xml:space="preserve"> taxa de mortalidade geral de 5,73 óbitos por 100 mil habitantes (Tabela 1). A média a</w:t>
      </w:r>
      <w:r w:rsidR="00E014C2">
        <w:rPr>
          <w:rFonts w:ascii="Arial" w:hAnsi="Arial" w:cs="Arial"/>
          <w:color w:val="000000"/>
          <w:shd w:val="clear" w:color="auto" w:fill="FFFFFF"/>
        </w:rPr>
        <w:t>nual foi de 14.594 casos, com</w:t>
      </w:r>
      <w:r>
        <w:rPr>
          <w:rFonts w:ascii="Arial" w:hAnsi="Arial" w:cs="Arial"/>
          <w:color w:val="000000"/>
          <w:shd w:val="clear" w:color="auto" w:fill="FFFFFF"/>
        </w:rPr>
        <w:t xml:space="preserve"> desvio padrão de 1821,21.</w:t>
      </w:r>
      <w:r w:rsidR="00874C7C">
        <w:rPr>
          <w:rFonts w:ascii="Arial" w:hAnsi="Arial" w:cs="Arial"/>
          <w:color w:val="000000"/>
          <w:shd w:val="clear" w:color="auto" w:fill="FFFFFF"/>
        </w:rPr>
        <w:t xml:space="preserve"> </w:t>
      </w:r>
      <w:r w:rsidR="00874C7C" w:rsidRPr="00874C7C">
        <w:rPr>
          <w:rFonts w:ascii="Arial" w:hAnsi="Arial" w:cs="Arial"/>
          <w:color w:val="000000"/>
          <w:shd w:val="clear" w:color="auto" w:fill="FFFFFF"/>
        </w:rPr>
        <w:t>A Região Sudeste apresentou o maior número absoluto de óbitos e a taxa de mortalidade</w:t>
      </w:r>
      <w:r w:rsidR="00874C7C">
        <w:rPr>
          <w:rFonts w:ascii="Arial" w:hAnsi="Arial" w:cs="Arial"/>
          <w:color w:val="000000"/>
          <w:shd w:val="clear" w:color="auto" w:fill="FFFFFF"/>
        </w:rPr>
        <w:t xml:space="preserve"> </w:t>
      </w:r>
      <w:r w:rsidR="00874C7C" w:rsidRPr="00874C7C">
        <w:rPr>
          <w:rFonts w:ascii="Arial" w:hAnsi="Arial" w:cs="Arial"/>
          <w:color w:val="000000"/>
          <w:shd w:val="clear" w:color="auto" w:fill="FFFFFF"/>
        </w:rPr>
        <w:t>mais elevada, mantendo esse perfil quando comparada às demais regiões, inclusive após a padronização por 100.000 habitantes (Gráfico 1).</w:t>
      </w:r>
    </w:p>
    <w:p w14:paraId="603D5210" w14:textId="11C6214A" w:rsidR="00A029FC" w:rsidRDefault="00A029FC" w:rsidP="00A029FC">
      <w:pPr>
        <w:pStyle w:val="NormalWeb"/>
        <w:spacing w:before="0" w:beforeAutospacing="0" w:after="0" w:afterAutospacing="0"/>
        <w:jc w:val="both"/>
      </w:pPr>
      <w:r>
        <w:rPr>
          <w:rFonts w:ascii="Arial" w:hAnsi="Arial" w:cs="Arial"/>
          <w:b/>
          <w:bCs/>
          <w:color w:val="000000"/>
          <w:shd w:val="clear" w:color="auto" w:fill="FFFFFF"/>
        </w:rPr>
        <w:t>Tabela 1</w:t>
      </w:r>
      <w:r w:rsidR="004D086A">
        <w:rPr>
          <w:rFonts w:ascii="Arial" w:hAnsi="Arial" w:cs="Arial"/>
          <w:color w:val="000000"/>
          <w:shd w:val="clear" w:color="auto" w:fill="FFFFFF"/>
        </w:rPr>
        <w:t xml:space="preserve">. </w:t>
      </w:r>
      <w:r>
        <w:rPr>
          <w:rFonts w:ascii="Arial" w:hAnsi="Arial" w:cs="Arial"/>
          <w:color w:val="000000"/>
          <w:shd w:val="clear" w:color="auto" w:fill="FFFFFF"/>
        </w:rPr>
        <w:t>Quantidade absoluta de óbitos e Taxa de Mortalidade por Regiões do Brasil.</w:t>
      </w:r>
    </w:p>
    <w:tbl>
      <w:tblPr>
        <w:tblW w:w="0" w:type="auto"/>
        <w:jc w:val="center"/>
        <w:tblCellMar>
          <w:top w:w="15" w:type="dxa"/>
          <w:left w:w="15" w:type="dxa"/>
          <w:bottom w:w="15" w:type="dxa"/>
          <w:right w:w="15" w:type="dxa"/>
        </w:tblCellMar>
        <w:tblLook w:val="04A0" w:firstRow="1" w:lastRow="0" w:firstColumn="1" w:lastColumn="0" w:noHBand="0" w:noVBand="1"/>
      </w:tblPr>
      <w:tblGrid>
        <w:gridCol w:w="1970"/>
        <w:gridCol w:w="1283"/>
        <w:gridCol w:w="2003"/>
      </w:tblGrid>
      <w:tr w:rsidR="00A029FC" w14:paraId="66E778F3" w14:textId="77777777" w:rsidTr="004D086A">
        <w:trPr>
          <w:trHeight w:val="315"/>
          <w:jc w:val="center"/>
        </w:trPr>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2B821172" w14:textId="77777777" w:rsidR="00A029FC" w:rsidRDefault="00A029FC">
            <w:pPr>
              <w:pStyle w:val="NormalWeb"/>
              <w:spacing w:before="0" w:beforeAutospacing="0" w:after="0" w:afterAutospacing="0"/>
              <w:jc w:val="center"/>
            </w:pPr>
            <w:r>
              <w:rPr>
                <w:rFonts w:ascii="Arial" w:hAnsi="Arial" w:cs="Arial"/>
                <w:b/>
                <w:bCs/>
                <w:color w:val="000000"/>
                <w:sz w:val="20"/>
                <w:szCs w:val="20"/>
              </w:rPr>
              <w:t xml:space="preserve"> Região</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37E40FE4" w14:textId="77777777" w:rsidR="00A029FC" w:rsidRDefault="00A029FC">
            <w:pPr>
              <w:pStyle w:val="NormalWeb"/>
              <w:spacing w:before="0" w:beforeAutospacing="0" w:after="0" w:afterAutospacing="0"/>
              <w:jc w:val="center"/>
            </w:pPr>
            <w:r>
              <w:rPr>
                <w:rFonts w:ascii="Arial" w:hAnsi="Arial" w:cs="Arial"/>
                <w:b/>
                <w:bCs/>
                <w:color w:val="000000"/>
                <w:sz w:val="20"/>
                <w:szCs w:val="20"/>
              </w:rPr>
              <w:t>N° de Óbitos</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434270A0" w14:textId="77777777" w:rsidR="00A029FC" w:rsidRDefault="00A029FC">
            <w:pPr>
              <w:pStyle w:val="NormalWeb"/>
              <w:spacing w:before="0" w:beforeAutospacing="0" w:after="0" w:afterAutospacing="0"/>
              <w:jc w:val="center"/>
            </w:pPr>
            <w:r>
              <w:rPr>
                <w:rFonts w:ascii="Arial" w:hAnsi="Arial" w:cs="Arial"/>
                <w:b/>
                <w:bCs/>
                <w:color w:val="000000"/>
                <w:sz w:val="20"/>
                <w:szCs w:val="20"/>
              </w:rPr>
              <w:t>Taxa de Mortalidade</w:t>
            </w:r>
          </w:p>
        </w:tc>
      </w:tr>
      <w:tr w:rsidR="00A029FC" w14:paraId="1D73C11C" w14:textId="77777777" w:rsidTr="004D086A">
        <w:trPr>
          <w:trHeight w:val="315"/>
          <w:jc w:val="center"/>
        </w:trPr>
        <w:tc>
          <w:tcPr>
            <w:tcW w:w="0" w:type="auto"/>
            <w:tcBorders>
              <w:top w:val="single" w:sz="6" w:space="0" w:color="000000"/>
            </w:tcBorders>
            <w:tcMar>
              <w:top w:w="40" w:type="dxa"/>
              <w:left w:w="40" w:type="dxa"/>
              <w:bottom w:w="40" w:type="dxa"/>
              <w:right w:w="40" w:type="dxa"/>
            </w:tcMar>
            <w:vAlign w:val="bottom"/>
            <w:hideMark/>
          </w:tcPr>
          <w:p w14:paraId="5917DF69" w14:textId="77777777" w:rsidR="00A029FC" w:rsidRDefault="00A029FC">
            <w:pPr>
              <w:pStyle w:val="NormalWeb"/>
              <w:spacing w:before="0" w:beforeAutospacing="0" w:after="0" w:afterAutospacing="0"/>
              <w:jc w:val="center"/>
            </w:pPr>
            <w:r>
              <w:rPr>
                <w:rFonts w:ascii="Arial" w:hAnsi="Arial" w:cs="Arial"/>
                <w:color w:val="000000"/>
                <w:sz w:val="20"/>
                <w:szCs w:val="20"/>
              </w:rPr>
              <w:t>Região Norte</w:t>
            </w:r>
          </w:p>
        </w:tc>
        <w:tc>
          <w:tcPr>
            <w:tcW w:w="0" w:type="auto"/>
            <w:tcBorders>
              <w:top w:val="single" w:sz="6" w:space="0" w:color="000000"/>
            </w:tcBorders>
            <w:tcMar>
              <w:top w:w="40" w:type="dxa"/>
              <w:left w:w="40" w:type="dxa"/>
              <w:bottom w:w="40" w:type="dxa"/>
              <w:right w:w="40" w:type="dxa"/>
            </w:tcMar>
            <w:vAlign w:val="bottom"/>
            <w:hideMark/>
          </w:tcPr>
          <w:p w14:paraId="03E2B6E2" w14:textId="77777777" w:rsidR="00A029FC" w:rsidRDefault="00A029FC">
            <w:pPr>
              <w:pStyle w:val="NormalWeb"/>
              <w:spacing w:before="0" w:beforeAutospacing="0" w:after="0" w:afterAutospacing="0"/>
              <w:jc w:val="center"/>
            </w:pPr>
            <w:r>
              <w:rPr>
                <w:rFonts w:ascii="Arial" w:hAnsi="Arial" w:cs="Arial"/>
                <w:color w:val="000000"/>
                <w:sz w:val="20"/>
                <w:szCs w:val="20"/>
              </w:rPr>
              <w:t>12.650</w:t>
            </w:r>
          </w:p>
        </w:tc>
        <w:tc>
          <w:tcPr>
            <w:tcW w:w="0" w:type="auto"/>
            <w:tcBorders>
              <w:top w:val="single" w:sz="6" w:space="0" w:color="000000"/>
            </w:tcBorders>
            <w:tcMar>
              <w:top w:w="40" w:type="dxa"/>
              <w:left w:w="40" w:type="dxa"/>
              <w:bottom w:w="40" w:type="dxa"/>
              <w:right w:w="40" w:type="dxa"/>
            </w:tcMar>
            <w:vAlign w:val="bottom"/>
            <w:hideMark/>
          </w:tcPr>
          <w:p w14:paraId="2B8EB99F" w14:textId="77777777" w:rsidR="00A029FC" w:rsidRDefault="00A029FC">
            <w:pPr>
              <w:pStyle w:val="NormalWeb"/>
              <w:spacing w:before="0" w:beforeAutospacing="0" w:after="0" w:afterAutospacing="0"/>
              <w:jc w:val="center"/>
            </w:pPr>
            <w:r>
              <w:rPr>
                <w:rFonts w:ascii="Arial" w:hAnsi="Arial" w:cs="Arial"/>
                <w:color w:val="000000"/>
                <w:sz w:val="20"/>
                <w:szCs w:val="20"/>
              </w:rPr>
              <w:t>4,12</w:t>
            </w:r>
          </w:p>
        </w:tc>
      </w:tr>
      <w:tr w:rsidR="00A029FC" w14:paraId="4989F639" w14:textId="77777777" w:rsidTr="004D086A">
        <w:trPr>
          <w:trHeight w:val="315"/>
          <w:jc w:val="center"/>
        </w:trPr>
        <w:tc>
          <w:tcPr>
            <w:tcW w:w="0" w:type="auto"/>
            <w:tcMar>
              <w:top w:w="40" w:type="dxa"/>
              <w:left w:w="40" w:type="dxa"/>
              <w:bottom w:w="40" w:type="dxa"/>
              <w:right w:w="40" w:type="dxa"/>
            </w:tcMar>
            <w:vAlign w:val="bottom"/>
            <w:hideMark/>
          </w:tcPr>
          <w:p w14:paraId="7CC4196C" w14:textId="77777777" w:rsidR="00A029FC" w:rsidRDefault="00A029FC">
            <w:pPr>
              <w:pStyle w:val="NormalWeb"/>
              <w:spacing w:before="0" w:beforeAutospacing="0" w:after="0" w:afterAutospacing="0"/>
              <w:jc w:val="center"/>
            </w:pPr>
            <w:r>
              <w:rPr>
                <w:rFonts w:ascii="Arial" w:hAnsi="Arial" w:cs="Arial"/>
                <w:color w:val="000000"/>
                <w:sz w:val="20"/>
                <w:szCs w:val="20"/>
              </w:rPr>
              <w:t>Região Nordeste</w:t>
            </w:r>
          </w:p>
        </w:tc>
        <w:tc>
          <w:tcPr>
            <w:tcW w:w="0" w:type="auto"/>
            <w:tcMar>
              <w:top w:w="40" w:type="dxa"/>
              <w:left w:w="40" w:type="dxa"/>
              <w:bottom w:w="40" w:type="dxa"/>
              <w:right w:w="40" w:type="dxa"/>
            </w:tcMar>
            <w:vAlign w:val="bottom"/>
            <w:hideMark/>
          </w:tcPr>
          <w:p w14:paraId="0A1044AA" w14:textId="77777777" w:rsidR="00A029FC" w:rsidRDefault="00A029FC">
            <w:pPr>
              <w:pStyle w:val="NormalWeb"/>
              <w:spacing w:before="0" w:beforeAutospacing="0" w:after="0" w:afterAutospacing="0"/>
              <w:jc w:val="center"/>
            </w:pPr>
            <w:r>
              <w:rPr>
                <w:rFonts w:ascii="Arial" w:hAnsi="Arial" w:cs="Arial"/>
                <w:color w:val="000000"/>
                <w:sz w:val="20"/>
                <w:szCs w:val="20"/>
              </w:rPr>
              <w:t>66.062</w:t>
            </w:r>
          </w:p>
        </w:tc>
        <w:tc>
          <w:tcPr>
            <w:tcW w:w="0" w:type="auto"/>
            <w:tcMar>
              <w:top w:w="40" w:type="dxa"/>
              <w:left w:w="40" w:type="dxa"/>
              <w:bottom w:w="40" w:type="dxa"/>
              <w:right w:w="40" w:type="dxa"/>
            </w:tcMar>
            <w:vAlign w:val="bottom"/>
            <w:hideMark/>
          </w:tcPr>
          <w:p w14:paraId="2D26EE1F" w14:textId="77777777" w:rsidR="00A029FC" w:rsidRDefault="00A029FC">
            <w:pPr>
              <w:pStyle w:val="NormalWeb"/>
              <w:spacing w:before="0" w:beforeAutospacing="0" w:after="0" w:afterAutospacing="0"/>
              <w:jc w:val="center"/>
            </w:pPr>
            <w:r>
              <w:rPr>
                <w:rFonts w:ascii="Arial" w:hAnsi="Arial" w:cs="Arial"/>
                <w:color w:val="000000"/>
                <w:sz w:val="20"/>
                <w:szCs w:val="20"/>
              </w:rPr>
              <w:t>5,65</w:t>
            </w:r>
          </w:p>
        </w:tc>
      </w:tr>
      <w:tr w:rsidR="00A029FC" w14:paraId="2F3F7D76" w14:textId="77777777" w:rsidTr="004D086A">
        <w:trPr>
          <w:trHeight w:val="315"/>
          <w:jc w:val="center"/>
        </w:trPr>
        <w:tc>
          <w:tcPr>
            <w:tcW w:w="0" w:type="auto"/>
            <w:tcMar>
              <w:top w:w="40" w:type="dxa"/>
              <w:left w:w="40" w:type="dxa"/>
              <w:bottom w:w="40" w:type="dxa"/>
              <w:right w:w="40" w:type="dxa"/>
            </w:tcMar>
            <w:vAlign w:val="bottom"/>
            <w:hideMark/>
          </w:tcPr>
          <w:p w14:paraId="4CB7D62D" w14:textId="77777777" w:rsidR="00A029FC" w:rsidRDefault="00A029FC">
            <w:pPr>
              <w:pStyle w:val="NormalWeb"/>
              <w:spacing w:before="0" w:beforeAutospacing="0" w:after="0" w:afterAutospacing="0"/>
              <w:jc w:val="center"/>
            </w:pPr>
            <w:r>
              <w:rPr>
                <w:rFonts w:ascii="Arial" w:hAnsi="Arial" w:cs="Arial"/>
                <w:color w:val="000000"/>
                <w:sz w:val="20"/>
                <w:szCs w:val="20"/>
              </w:rPr>
              <w:t>Região Sudeste</w:t>
            </w:r>
          </w:p>
        </w:tc>
        <w:tc>
          <w:tcPr>
            <w:tcW w:w="0" w:type="auto"/>
            <w:tcMar>
              <w:top w:w="40" w:type="dxa"/>
              <w:left w:w="40" w:type="dxa"/>
              <w:bottom w:w="40" w:type="dxa"/>
              <w:right w:w="40" w:type="dxa"/>
            </w:tcMar>
            <w:vAlign w:val="bottom"/>
            <w:hideMark/>
          </w:tcPr>
          <w:p w14:paraId="43A064A6" w14:textId="77777777" w:rsidR="00A029FC" w:rsidRDefault="00A029FC">
            <w:pPr>
              <w:pStyle w:val="NormalWeb"/>
              <w:spacing w:before="0" w:beforeAutospacing="0" w:after="0" w:afterAutospacing="0"/>
              <w:jc w:val="center"/>
            </w:pPr>
            <w:r>
              <w:rPr>
                <w:rFonts w:ascii="Arial" w:hAnsi="Arial" w:cs="Arial"/>
                <w:color w:val="000000"/>
                <w:sz w:val="20"/>
                <w:szCs w:val="20"/>
              </w:rPr>
              <w:t>111.387</w:t>
            </w:r>
          </w:p>
        </w:tc>
        <w:tc>
          <w:tcPr>
            <w:tcW w:w="0" w:type="auto"/>
            <w:tcMar>
              <w:top w:w="40" w:type="dxa"/>
              <w:left w:w="40" w:type="dxa"/>
              <w:bottom w:w="40" w:type="dxa"/>
              <w:right w:w="40" w:type="dxa"/>
            </w:tcMar>
            <w:vAlign w:val="bottom"/>
            <w:hideMark/>
          </w:tcPr>
          <w:p w14:paraId="7B420825" w14:textId="77777777" w:rsidR="00A029FC" w:rsidRDefault="00A029FC">
            <w:pPr>
              <w:pStyle w:val="NormalWeb"/>
              <w:spacing w:before="0" w:beforeAutospacing="0" w:after="0" w:afterAutospacing="0"/>
              <w:jc w:val="center"/>
            </w:pPr>
            <w:r>
              <w:rPr>
                <w:rFonts w:ascii="Arial" w:hAnsi="Arial" w:cs="Arial"/>
                <w:color w:val="000000"/>
                <w:sz w:val="20"/>
                <w:szCs w:val="20"/>
              </w:rPr>
              <w:t>6,74</w:t>
            </w:r>
          </w:p>
        </w:tc>
      </w:tr>
      <w:tr w:rsidR="00A029FC" w14:paraId="64AFF126" w14:textId="77777777" w:rsidTr="004D086A">
        <w:trPr>
          <w:trHeight w:val="315"/>
          <w:jc w:val="center"/>
        </w:trPr>
        <w:tc>
          <w:tcPr>
            <w:tcW w:w="0" w:type="auto"/>
            <w:tcMar>
              <w:top w:w="40" w:type="dxa"/>
              <w:left w:w="40" w:type="dxa"/>
              <w:bottom w:w="40" w:type="dxa"/>
              <w:right w:w="40" w:type="dxa"/>
            </w:tcMar>
            <w:vAlign w:val="bottom"/>
            <w:hideMark/>
          </w:tcPr>
          <w:p w14:paraId="31BCE1D3" w14:textId="77777777" w:rsidR="00A029FC" w:rsidRDefault="00A029FC">
            <w:pPr>
              <w:pStyle w:val="NormalWeb"/>
              <w:spacing w:before="0" w:beforeAutospacing="0" w:after="0" w:afterAutospacing="0"/>
              <w:jc w:val="center"/>
            </w:pPr>
            <w:r>
              <w:rPr>
                <w:rFonts w:ascii="Arial" w:hAnsi="Arial" w:cs="Arial"/>
                <w:color w:val="000000"/>
                <w:sz w:val="20"/>
                <w:szCs w:val="20"/>
              </w:rPr>
              <w:t>Região Sul</w:t>
            </w:r>
          </w:p>
        </w:tc>
        <w:tc>
          <w:tcPr>
            <w:tcW w:w="0" w:type="auto"/>
            <w:tcMar>
              <w:top w:w="40" w:type="dxa"/>
              <w:left w:w="40" w:type="dxa"/>
              <w:bottom w:w="40" w:type="dxa"/>
              <w:right w:w="40" w:type="dxa"/>
            </w:tcMar>
            <w:vAlign w:val="bottom"/>
            <w:hideMark/>
          </w:tcPr>
          <w:p w14:paraId="363019D8" w14:textId="77777777" w:rsidR="00A029FC" w:rsidRDefault="00A029FC">
            <w:pPr>
              <w:pStyle w:val="NormalWeb"/>
              <w:spacing w:before="0" w:beforeAutospacing="0" w:after="0" w:afterAutospacing="0"/>
              <w:jc w:val="center"/>
            </w:pPr>
            <w:r>
              <w:rPr>
                <w:rFonts w:ascii="Arial" w:hAnsi="Arial" w:cs="Arial"/>
                <w:color w:val="000000"/>
                <w:sz w:val="20"/>
                <w:szCs w:val="20"/>
              </w:rPr>
              <w:t>31.325</w:t>
            </w:r>
          </w:p>
        </w:tc>
        <w:tc>
          <w:tcPr>
            <w:tcW w:w="0" w:type="auto"/>
            <w:tcMar>
              <w:top w:w="40" w:type="dxa"/>
              <w:left w:w="40" w:type="dxa"/>
              <w:bottom w:w="40" w:type="dxa"/>
              <w:right w:w="40" w:type="dxa"/>
            </w:tcMar>
            <w:vAlign w:val="bottom"/>
            <w:hideMark/>
          </w:tcPr>
          <w:p w14:paraId="6E5C442A" w14:textId="77777777" w:rsidR="00A029FC" w:rsidRDefault="00A029FC">
            <w:pPr>
              <w:pStyle w:val="NormalWeb"/>
              <w:spacing w:before="0" w:beforeAutospacing="0" w:after="0" w:afterAutospacing="0"/>
              <w:jc w:val="center"/>
            </w:pPr>
            <w:r>
              <w:rPr>
                <w:rFonts w:ascii="Arial" w:hAnsi="Arial" w:cs="Arial"/>
                <w:color w:val="000000"/>
                <w:sz w:val="20"/>
                <w:szCs w:val="20"/>
              </w:rPr>
              <w:t>4,98</w:t>
            </w:r>
          </w:p>
        </w:tc>
      </w:tr>
      <w:tr w:rsidR="00A029FC" w14:paraId="6B8BA8A1" w14:textId="77777777" w:rsidTr="004D086A">
        <w:trPr>
          <w:trHeight w:val="315"/>
          <w:jc w:val="center"/>
        </w:trPr>
        <w:tc>
          <w:tcPr>
            <w:tcW w:w="0" w:type="auto"/>
            <w:tcBorders>
              <w:bottom w:val="single" w:sz="6" w:space="0" w:color="000000"/>
            </w:tcBorders>
            <w:tcMar>
              <w:top w:w="40" w:type="dxa"/>
              <w:left w:w="40" w:type="dxa"/>
              <w:bottom w:w="40" w:type="dxa"/>
              <w:right w:w="40" w:type="dxa"/>
            </w:tcMar>
            <w:vAlign w:val="bottom"/>
            <w:hideMark/>
          </w:tcPr>
          <w:p w14:paraId="4CC31C3D" w14:textId="77777777" w:rsidR="00A029FC" w:rsidRDefault="00A029FC">
            <w:pPr>
              <w:pStyle w:val="NormalWeb"/>
              <w:spacing w:before="0" w:beforeAutospacing="0" w:after="0" w:afterAutospacing="0"/>
              <w:jc w:val="center"/>
            </w:pPr>
            <w:r>
              <w:rPr>
                <w:rFonts w:ascii="Arial" w:hAnsi="Arial" w:cs="Arial"/>
                <w:color w:val="000000"/>
                <w:sz w:val="20"/>
                <w:szCs w:val="20"/>
              </w:rPr>
              <w:t>Região Centro-Oeste</w:t>
            </w:r>
          </w:p>
        </w:tc>
        <w:tc>
          <w:tcPr>
            <w:tcW w:w="0" w:type="auto"/>
            <w:tcBorders>
              <w:bottom w:val="single" w:sz="6" w:space="0" w:color="000000"/>
            </w:tcBorders>
            <w:tcMar>
              <w:top w:w="40" w:type="dxa"/>
              <w:left w:w="40" w:type="dxa"/>
              <w:bottom w:w="40" w:type="dxa"/>
              <w:right w:w="40" w:type="dxa"/>
            </w:tcMar>
            <w:vAlign w:val="bottom"/>
            <w:hideMark/>
          </w:tcPr>
          <w:p w14:paraId="741F3D67" w14:textId="77777777" w:rsidR="00A029FC" w:rsidRDefault="00A029FC">
            <w:pPr>
              <w:pStyle w:val="NormalWeb"/>
              <w:spacing w:before="0" w:beforeAutospacing="0" w:after="0" w:afterAutospacing="0"/>
              <w:jc w:val="center"/>
            </w:pPr>
            <w:r>
              <w:rPr>
                <w:rFonts w:ascii="Arial" w:hAnsi="Arial" w:cs="Arial"/>
                <w:color w:val="000000"/>
                <w:sz w:val="20"/>
                <w:szCs w:val="20"/>
              </w:rPr>
              <w:t>12.245</w:t>
            </w:r>
          </w:p>
        </w:tc>
        <w:tc>
          <w:tcPr>
            <w:tcW w:w="0" w:type="auto"/>
            <w:tcBorders>
              <w:bottom w:val="single" w:sz="6" w:space="0" w:color="000000"/>
            </w:tcBorders>
            <w:tcMar>
              <w:top w:w="40" w:type="dxa"/>
              <w:left w:w="40" w:type="dxa"/>
              <w:bottom w:w="40" w:type="dxa"/>
              <w:right w:w="40" w:type="dxa"/>
            </w:tcMar>
            <w:vAlign w:val="bottom"/>
            <w:hideMark/>
          </w:tcPr>
          <w:p w14:paraId="6D83922D" w14:textId="77777777" w:rsidR="00A029FC" w:rsidRDefault="00A029FC">
            <w:pPr>
              <w:pStyle w:val="NormalWeb"/>
              <w:spacing w:before="0" w:beforeAutospacing="0" w:after="0" w:afterAutospacing="0"/>
              <w:jc w:val="center"/>
            </w:pPr>
            <w:r>
              <w:rPr>
                <w:rFonts w:ascii="Arial" w:hAnsi="Arial" w:cs="Arial"/>
                <w:color w:val="000000"/>
                <w:sz w:val="20"/>
                <w:szCs w:val="20"/>
              </w:rPr>
              <w:t>3,85</w:t>
            </w:r>
          </w:p>
        </w:tc>
      </w:tr>
      <w:tr w:rsidR="00A029FC" w14:paraId="25301BB7" w14:textId="77777777" w:rsidTr="004D086A">
        <w:trPr>
          <w:trHeight w:val="315"/>
          <w:jc w:val="center"/>
        </w:trPr>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67D1120F" w14:textId="77777777" w:rsidR="00A029FC" w:rsidRDefault="00A029FC">
            <w:pPr>
              <w:pStyle w:val="NormalWeb"/>
              <w:spacing w:before="0" w:beforeAutospacing="0" w:after="0" w:afterAutospacing="0"/>
              <w:jc w:val="center"/>
            </w:pPr>
            <w:r>
              <w:rPr>
                <w:rFonts w:ascii="Arial" w:hAnsi="Arial" w:cs="Arial"/>
                <w:b/>
                <w:bCs/>
                <w:color w:val="000000"/>
                <w:sz w:val="20"/>
                <w:szCs w:val="20"/>
              </w:rPr>
              <w:t>Total</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5AAEC71A" w14:textId="77777777" w:rsidR="00A029FC" w:rsidRDefault="00A029FC">
            <w:pPr>
              <w:pStyle w:val="NormalWeb"/>
              <w:spacing w:before="0" w:beforeAutospacing="0" w:after="0" w:afterAutospacing="0"/>
              <w:jc w:val="center"/>
            </w:pPr>
            <w:r>
              <w:rPr>
                <w:rFonts w:ascii="Arial" w:hAnsi="Arial" w:cs="Arial"/>
                <w:b/>
                <w:bCs/>
                <w:color w:val="000000"/>
                <w:sz w:val="20"/>
                <w:szCs w:val="20"/>
              </w:rPr>
              <w:t>233.669</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7E1921BC" w14:textId="77777777" w:rsidR="00A029FC" w:rsidRDefault="00A029FC">
            <w:pPr>
              <w:pStyle w:val="NormalWeb"/>
              <w:spacing w:before="0" w:beforeAutospacing="0" w:after="0" w:afterAutospacing="0"/>
              <w:jc w:val="center"/>
            </w:pPr>
            <w:r>
              <w:rPr>
                <w:rFonts w:ascii="Arial" w:hAnsi="Arial" w:cs="Arial"/>
                <w:b/>
                <w:bCs/>
                <w:color w:val="000000"/>
                <w:sz w:val="20"/>
                <w:szCs w:val="20"/>
              </w:rPr>
              <w:t>5,73</w:t>
            </w:r>
          </w:p>
        </w:tc>
      </w:tr>
    </w:tbl>
    <w:p w14:paraId="26ABEB70" w14:textId="3467871C" w:rsidR="004D086A" w:rsidRDefault="004D086A" w:rsidP="004D086A">
      <w:pPr>
        <w:pStyle w:val="NormalWeb"/>
        <w:spacing w:before="0" w:beforeAutospacing="0" w:after="0" w:afterAutospacing="0"/>
        <w:jc w:val="both"/>
      </w:pPr>
    </w:p>
    <w:p w14:paraId="41F37B92" w14:textId="77777777" w:rsidR="00152CD6" w:rsidRDefault="00A029FC" w:rsidP="00EB0DAF">
      <w:pPr>
        <w:spacing w:after="240"/>
        <w:jc w:val="center"/>
      </w:pPr>
      <w:r>
        <w:br/>
      </w:r>
      <w:r>
        <w:br/>
      </w:r>
    </w:p>
    <w:p w14:paraId="48C3A1DD" w14:textId="77777777" w:rsidR="00152CD6" w:rsidRDefault="00152CD6" w:rsidP="00EB0DAF">
      <w:pPr>
        <w:spacing w:after="240"/>
        <w:jc w:val="center"/>
      </w:pPr>
    </w:p>
    <w:p w14:paraId="41A3FD0B" w14:textId="3BC23F6F" w:rsidR="00A029FC" w:rsidRDefault="004D086A" w:rsidP="00EB0DAF">
      <w:pPr>
        <w:spacing w:after="240"/>
        <w:jc w:val="center"/>
      </w:pPr>
      <w:r>
        <w:rPr>
          <w:noProof/>
        </w:rPr>
        <w:drawing>
          <wp:inline distT="0" distB="0" distL="0" distR="0" wp14:anchorId="57FACEDC" wp14:editId="74C93E47">
            <wp:extent cx="5635256" cy="3155580"/>
            <wp:effectExtent l="0" t="0" r="381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art (2).png"/>
                    <pic:cNvPicPr/>
                  </pic:nvPicPr>
                  <pic:blipFill>
                    <a:blip r:embed="rId11">
                      <a:extLst>
                        <a:ext uri="{28A0092B-C50C-407E-A947-70E740481C1C}">
                          <a14:useLocalDpi xmlns:a14="http://schemas.microsoft.com/office/drawing/2010/main" val="0"/>
                        </a:ext>
                      </a:extLst>
                    </a:blip>
                    <a:stretch>
                      <a:fillRect/>
                    </a:stretch>
                  </pic:blipFill>
                  <pic:spPr>
                    <a:xfrm>
                      <a:off x="0" y="0"/>
                      <a:ext cx="5657234" cy="3167887"/>
                    </a:xfrm>
                    <a:prstGeom prst="rect">
                      <a:avLst/>
                    </a:prstGeom>
                  </pic:spPr>
                </pic:pic>
              </a:graphicData>
            </a:graphic>
          </wp:inline>
        </w:drawing>
      </w:r>
    </w:p>
    <w:p w14:paraId="26085DAB" w14:textId="07FDF493" w:rsidR="00152CD6" w:rsidRDefault="00152CD6" w:rsidP="00152CD6">
      <w:pPr>
        <w:spacing w:after="240"/>
        <w:jc w:val="center"/>
      </w:pPr>
      <w:r>
        <w:rPr>
          <w:rFonts w:ascii="Arial" w:hAnsi="Arial" w:cs="Arial"/>
          <w:b/>
          <w:bCs/>
          <w:color w:val="000000"/>
          <w:shd w:val="clear" w:color="auto" w:fill="FFFFFF"/>
        </w:rPr>
        <w:t>Gráfico 1</w:t>
      </w:r>
      <w:r>
        <w:rPr>
          <w:rFonts w:ascii="Arial" w:hAnsi="Arial" w:cs="Arial"/>
          <w:color w:val="000000"/>
          <w:shd w:val="clear" w:color="auto" w:fill="FFFFFF"/>
        </w:rPr>
        <w:t>. Óbitos por Distúrbios Endócrinos, Metabólicos e Nutricionais no Brasil (a cada 100 mil hab</w:t>
      </w:r>
      <w:r w:rsidR="005A1116">
        <w:rPr>
          <w:rFonts w:ascii="Arial" w:hAnsi="Arial" w:cs="Arial"/>
          <w:color w:val="000000"/>
          <w:shd w:val="clear" w:color="auto" w:fill="FFFFFF"/>
        </w:rPr>
        <w:t>itantes</w:t>
      </w:r>
      <w:r>
        <w:rPr>
          <w:rFonts w:ascii="Arial" w:hAnsi="Arial" w:cs="Arial"/>
          <w:color w:val="000000"/>
          <w:shd w:val="clear" w:color="auto" w:fill="FFFFFF"/>
        </w:rPr>
        <w:t>).</w:t>
      </w:r>
    </w:p>
    <w:p w14:paraId="0D0A3482" w14:textId="5529D987" w:rsidR="00A029FC" w:rsidRDefault="00A029FC" w:rsidP="001A1C79">
      <w:pPr>
        <w:pStyle w:val="NormalWeb"/>
        <w:spacing w:before="240" w:beforeAutospacing="0" w:after="240" w:afterAutospacing="0" w:line="360" w:lineRule="auto"/>
        <w:ind w:firstLine="720"/>
        <w:jc w:val="both"/>
      </w:pPr>
      <w:r>
        <w:rPr>
          <w:rFonts w:ascii="Arial" w:hAnsi="Arial" w:cs="Arial"/>
          <w:color w:val="000000"/>
          <w:shd w:val="clear" w:color="auto" w:fill="FFFFFF"/>
        </w:rPr>
        <w:t>A análise das causas de óbito, conforme a Lista de Morbidade da CID-10, revelou que duas condições foram predominantes (</w:t>
      </w:r>
      <w:r w:rsidRPr="002F00AA">
        <w:rPr>
          <w:rFonts w:ascii="Arial" w:hAnsi="Arial" w:cs="Arial"/>
          <w:color w:val="000000"/>
          <w:shd w:val="clear" w:color="auto" w:fill="FFFFFF"/>
        </w:rPr>
        <w:t xml:space="preserve">Gráfico </w:t>
      </w:r>
      <w:r w:rsidR="00111874">
        <w:rPr>
          <w:rFonts w:ascii="Arial" w:hAnsi="Arial" w:cs="Arial"/>
          <w:color w:val="000000"/>
          <w:shd w:val="clear" w:color="auto" w:fill="FFFFFF"/>
        </w:rPr>
        <w:t>2</w:t>
      </w:r>
      <w:r w:rsidRPr="002F00AA">
        <w:rPr>
          <w:rFonts w:ascii="Arial" w:hAnsi="Arial" w:cs="Arial"/>
          <w:color w:val="000000"/>
          <w:shd w:val="clear" w:color="auto" w:fill="FFFFFF"/>
        </w:rPr>
        <w:t>). O Diabetes mellitus foi a principal causa, responsável por 97.430 mortes (41,70%), seguido pela Desnutrição, com 82.447 registros (35,28%). Em conjunto, essas duas enfermidades representaram mais</w:t>
      </w:r>
      <w:r>
        <w:rPr>
          <w:rFonts w:ascii="Arial" w:hAnsi="Arial" w:cs="Arial"/>
          <w:color w:val="000000"/>
          <w:shd w:val="clear" w:color="auto" w:fill="FFFFFF"/>
        </w:rPr>
        <w:t xml:space="preserve"> de três quartos do total de óbitos no grupo de doenças estudado. Outras causas relevantes incluíram "Outros transtornos endócrinos, nutricionais e metabólicos" (13,03%) e "Depleção de volume" (9,49%).</w:t>
      </w:r>
    </w:p>
    <w:p w14:paraId="2A9849E0" w14:textId="77777777" w:rsidR="00152CD6" w:rsidRDefault="00152CD6" w:rsidP="00A029FC">
      <w:pPr>
        <w:pStyle w:val="NormalWeb"/>
        <w:spacing w:before="0" w:beforeAutospacing="0" w:after="0" w:afterAutospacing="0"/>
        <w:jc w:val="center"/>
        <w:rPr>
          <w:noProof/>
        </w:rPr>
      </w:pPr>
    </w:p>
    <w:p w14:paraId="503B3C3B" w14:textId="658496C1" w:rsidR="00A029FC" w:rsidRDefault="002526F4" w:rsidP="00A029FC">
      <w:pPr>
        <w:pStyle w:val="NormalWeb"/>
        <w:spacing w:before="0" w:beforeAutospacing="0" w:after="0" w:afterAutospacing="0"/>
        <w:jc w:val="center"/>
      </w:pPr>
      <w:r>
        <w:rPr>
          <w:noProof/>
        </w:rPr>
        <w:drawing>
          <wp:inline distT="0" distB="0" distL="0" distR="0" wp14:anchorId="620D2771" wp14:editId="2890DCA9">
            <wp:extent cx="3819525" cy="1662567"/>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hart.png"/>
                    <pic:cNvPicPr/>
                  </pic:nvPicPr>
                  <pic:blipFill rotWithShape="1">
                    <a:blip r:embed="rId12">
                      <a:extLst>
                        <a:ext uri="{28A0092B-C50C-407E-A947-70E740481C1C}">
                          <a14:useLocalDpi xmlns:a14="http://schemas.microsoft.com/office/drawing/2010/main" val="0"/>
                        </a:ext>
                      </a:extLst>
                    </a:blip>
                    <a:srcRect t="10184" b="13806"/>
                    <a:stretch/>
                  </pic:blipFill>
                  <pic:spPr bwMode="auto">
                    <a:xfrm>
                      <a:off x="0" y="0"/>
                      <a:ext cx="3874531" cy="1686510"/>
                    </a:xfrm>
                    <a:prstGeom prst="rect">
                      <a:avLst/>
                    </a:prstGeom>
                    <a:ln>
                      <a:noFill/>
                    </a:ln>
                    <a:extLst>
                      <a:ext uri="{53640926-AAD7-44D8-BBD7-CCE9431645EC}">
                        <a14:shadowObscured xmlns:a14="http://schemas.microsoft.com/office/drawing/2010/main"/>
                      </a:ext>
                    </a:extLst>
                  </pic:spPr>
                </pic:pic>
              </a:graphicData>
            </a:graphic>
          </wp:inline>
        </w:drawing>
      </w:r>
    </w:p>
    <w:p w14:paraId="7CD33297" w14:textId="4DFF34E0" w:rsidR="00EB0DAF" w:rsidRDefault="00EB0DAF" w:rsidP="00152CD6">
      <w:pPr>
        <w:pStyle w:val="NormalWeb"/>
        <w:spacing w:before="0" w:beforeAutospacing="0" w:after="0" w:afterAutospacing="0"/>
        <w:jc w:val="center"/>
      </w:pPr>
      <w:r>
        <w:rPr>
          <w:rFonts w:ascii="Arial" w:hAnsi="Arial" w:cs="Arial"/>
          <w:b/>
          <w:bCs/>
          <w:color w:val="000000"/>
          <w:shd w:val="clear" w:color="auto" w:fill="FFFFFF"/>
        </w:rPr>
        <w:t>Gráfico 2</w:t>
      </w:r>
      <w:r w:rsidR="00111874">
        <w:rPr>
          <w:rFonts w:ascii="Arial" w:hAnsi="Arial" w:cs="Arial"/>
          <w:color w:val="000000"/>
          <w:shd w:val="clear" w:color="auto" w:fill="FFFFFF"/>
        </w:rPr>
        <w:t xml:space="preserve">. </w:t>
      </w:r>
      <w:r>
        <w:rPr>
          <w:rFonts w:ascii="Arial" w:hAnsi="Arial" w:cs="Arial"/>
          <w:color w:val="000000"/>
          <w:shd w:val="clear" w:color="auto" w:fill="FFFFFF"/>
        </w:rPr>
        <w:t>Óbitos segundo a Lista Morbidade CID-10 por Distúrbios Endócrinos, Metabólicos e Nutricionais.</w:t>
      </w:r>
    </w:p>
    <w:p w14:paraId="0B828B36" w14:textId="77777777" w:rsidR="00A029FC" w:rsidRDefault="00A029FC" w:rsidP="001A1C79">
      <w:pPr>
        <w:pStyle w:val="NormalWeb"/>
        <w:spacing w:before="240" w:beforeAutospacing="0" w:after="240" w:afterAutospacing="0" w:line="360" w:lineRule="auto"/>
        <w:ind w:firstLine="720"/>
        <w:jc w:val="both"/>
      </w:pPr>
      <w:r>
        <w:rPr>
          <w:rFonts w:ascii="Arial" w:hAnsi="Arial" w:cs="Arial"/>
          <w:color w:val="000000"/>
          <w:shd w:val="clear" w:color="auto" w:fill="FFFFFF"/>
        </w:rPr>
        <w:lastRenderedPageBreak/>
        <w:t>A distribuição proporcional das causas de morte variou significativamente entre as regiões do país (Tabela 2). O Diabetes Mellitus foi a principal causa nas regiões Norte (65,07%), Nordeste (52,13%) e Centro-Oeste (43,07%). Em contrapartida, a desnutrição foi a causa mais frequente nas regiões Sudeste (38,18%) e Sul (43,46%), superando o Diabetes Mellitus nessas localidades.</w:t>
      </w:r>
    </w:p>
    <w:p w14:paraId="2A288680" w14:textId="3E60721F" w:rsidR="00A029FC" w:rsidRDefault="00614DBC" w:rsidP="005A1116">
      <w:pPr>
        <w:pStyle w:val="NormalWeb"/>
        <w:spacing w:before="0" w:beforeAutospacing="0" w:after="0" w:afterAutospacing="0"/>
        <w:jc w:val="both"/>
      </w:pPr>
      <w:r>
        <w:rPr>
          <w:rFonts w:ascii="Arial" w:hAnsi="Arial" w:cs="Arial"/>
          <w:b/>
          <w:bCs/>
          <w:color w:val="000000"/>
          <w:shd w:val="clear" w:color="auto" w:fill="FFFFFF"/>
        </w:rPr>
        <w:t xml:space="preserve">Tabela 2. </w:t>
      </w:r>
      <w:r w:rsidR="00A029FC">
        <w:rPr>
          <w:rFonts w:ascii="Arial" w:hAnsi="Arial" w:cs="Arial"/>
          <w:color w:val="000000"/>
          <w:shd w:val="clear" w:color="auto" w:fill="FFFFFF"/>
        </w:rPr>
        <w:t>Óbitos por Lista Morbidade CID-10 nas Regiões do Brasil.</w:t>
      </w:r>
    </w:p>
    <w:tbl>
      <w:tblPr>
        <w:tblW w:w="0" w:type="auto"/>
        <w:tblCellMar>
          <w:top w:w="15" w:type="dxa"/>
          <w:left w:w="15" w:type="dxa"/>
          <w:bottom w:w="15" w:type="dxa"/>
          <w:right w:w="15" w:type="dxa"/>
        </w:tblCellMar>
        <w:tblLook w:val="04A0" w:firstRow="1" w:lastRow="0" w:firstColumn="1" w:lastColumn="0" w:noHBand="0" w:noVBand="1"/>
      </w:tblPr>
      <w:tblGrid>
        <w:gridCol w:w="2376"/>
        <w:gridCol w:w="1066"/>
        <w:gridCol w:w="1253"/>
        <w:gridCol w:w="1164"/>
        <w:gridCol w:w="1348"/>
        <w:gridCol w:w="1319"/>
        <w:gridCol w:w="1104"/>
      </w:tblGrid>
      <w:tr w:rsidR="00A029FC" w14:paraId="12F42856" w14:textId="77777777" w:rsidTr="00A029FC">
        <w:trPr>
          <w:trHeight w:val="765"/>
        </w:trPr>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6FBCA3AE" w14:textId="77777777" w:rsidR="00A029FC" w:rsidRDefault="00A029FC">
            <w:pPr>
              <w:pStyle w:val="NormalWeb"/>
              <w:spacing w:before="0" w:beforeAutospacing="0" w:after="0" w:afterAutospacing="0"/>
              <w:jc w:val="center"/>
            </w:pPr>
            <w:r>
              <w:rPr>
                <w:rFonts w:ascii="Arial" w:hAnsi="Arial" w:cs="Arial"/>
                <w:b/>
                <w:bCs/>
                <w:color w:val="000000"/>
                <w:sz w:val="20"/>
                <w:szCs w:val="20"/>
              </w:rPr>
              <w:t>Lista Morbidade CID-10</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32E0397B"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Norte </w:t>
            </w:r>
          </w:p>
          <w:p w14:paraId="5F09F37B" w14:textId="77777777" w:rsidR="00A029FC" w:rsidRDefault="00A029FC">
            <w:pPr>
              <w:pStyle w:val="NormalWeb"/>
              <w:spacing w:before="0" w:beforeAutospacing="0" w:after="0" w:afterAutospacing="0"/>
              <w:jc w:val="center"/>
            </w:pPr>
            <w:r>
              <w:rPr>
                <w:rFonts w:ascii="Arial" w:hAnsi="Arial" w:cs="Arial"/>
                <w:b/>
                <w:bCs/>
                <w:color w:val="000000"/>
                <w:sz w:val="20"/>
                <w:szCs w:val="20"/>
              </w:rPr>
              <w:t>(n = 12650)</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1BCEA0AF"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Nordeste </w:t>
            </w:r>
          </w:p>
          <w:p w14:paraId="60F71BBC" w14:textId="77777777" w:rsidR="00A029FC" w:rsidRDefault="00A029FC">
            <w:pPr>
              <w:pStyle w:val="NormalWeb"/>
              <w:spacing w:before="0" w:beforeAutospacing="0" w:after="0" w:afterAutospacing="0"/>
              <w:jc w:val="center"/>
            </w:pPr>
            <w:r>
              <w:rPr>
                <w:rFonts w:ascii="Arial" w:hAnsi="Arial" w:cs="Arial"/>
                <w:b/>
                <w:bCs/>
                <w:color w:val="000000"/>
                <w:sz w:val="20"/>
                <w:szCs w:val="20"/>
              </w:rPr>
              <w:t>(n = 66062)</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02EFE40D"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Sudeste </w:t>
            </w:r>
          </w:p>
          <w:p w14:paraId="480C77A7" w14:textId="77777777" w:rsidR="00A029FC" w:rsidRDefault="00A029FC">
            <w:pPr>
              <w:pStyle w:val="NormalWeb"/>
              <w:spacing w:before="0" w:beforeAutospacing="0" w:after="0" w:afterAutospacing="0"/>
              <w:jc w:val="center"/>
            </w:pPr>
            <w:r>
              <w:rPr>
                <w:rFonts w:ascii="Arial" w:hAnsi="Arial" w:cs="Arial"/>
                <w:b/>
                <w:bCs/>
                <w:color w:val="000000"/>
                <w:sz w:val="20"/>
                <w:szCs w:val="20"/>
              </w:rPr>
              <w:t>(n = 111387)</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21570C9A"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Sul (n = 31325)</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238B2CA4"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Centro-Oeste </w:t>
            </w:r>
          </w:p>
          <w:p w14:paraId="2D3C4800" w14:textId="77777777" w:rsidR="00A029FC" w:rsidRDefault="00A029FC">
            <w:pPr>
              <w:pStyle w:val="NormalWeb"/>
              <w:spacing w:before="0" w:beforeAutospacing="0" w:after="0" w:afterAutospacing="0"/>
              <w:jc w:val="center"/>
            </w:pPr>
            <w:r>
              <w:rPr>
                <w:rFonts w:ascii="Arial" w:hAnsi="Arial" w:cs="Arial"/>
                <w:b/>
                <w:bCs/>
                <w:color w:val="000000"/>
                <w:sz w:val="20"/>
                <w:szCs w:val="20"/>
              </w:rPr>
              <w:t>(n = 12245)</w:t>
            </w:r>
          </w:p>
        </w:tc>
        <w:tc>
          <w:tcPr>
            <w:tcW w:w="0" w:type="auto"/>
            <w:tcBorders>
              <w:top w:val="single" w:sz="6" w:space="0" w:color="000000"/>
              <w:bottom w:val="single" w:sz="8" w:space="0" w:color="000000"/>
              <w:right w:val="single" w:sz="6" w:space="0" w:color="FFFFFF"/>
            </w:tcBorders>
            <w:tcMar>
              <w:top w:w="40" w:type="dxa"/>
              <w:left w:w="0" w:type="dxa"/>
              <w:bottom w:w="40" w:type="dxa"/>
              <w:right w:w="0" w:type="dxa"/>
            </w:tcMar>
            <w:vAlign w:val="center"/>
            <w:hideMark/>
          </w:tcPr>
          <w:p w14:paraId="7CA2F938" w14:textId="77777777" w:rsidR="00A029FC" w:rsidRDefault="00A029FC">
            <w:pPr>
              <w:pStyle w:val="NormalWeb"/>
              <w:spacing w:before="0" w:beforeAutospacing="0" w:after="0" w:afterAutospacing="0"/>
              <w:ind w:left="-12000" w:right="-12000"/>
              <w:jc w:val="center"/>
            </w:pPr>
            <w:r>
              <w:rPr>
                <w:rFonts w:ascii="Arial" w:hAnsi="Arial" w:cs="Arial"/>
                <w:b/>
                <w:bCs/>
                <w:color w:val="000000"/>
                <w:sz w:val="20"/>
                <w:szCs w:val="20"/>
              </w:rPr>
              <w:t>Total </w:t>
            </w:r>
          </w:p>
          <w:p w14:paraId="133FD5A7" w14:textId="77777777" w:rsidR="00A029FC" w:rsidRDefault="00A029FC">
            <w:pPr>
              <w:pStyle w:val="NormalWeb"/>
              <w:spacing w:before="0" w:beforeAutospacing="0" w:after="0" w:afterAutospacing="0"/>
              <w:ind w:left="-12000" w:right="-12000"/>
              <w:jc w:val="center"/>
            </w:pPr>
            <w:r>
              <w:rPr>
                <w:rFonts w:ascii="Arial" w:hAnsi="Arial" w:cs="Arial"/>
                <w:b/>
                <w:bCs/>
                <w:color w:val="000000"/>
                <w:sz w:val="20"/>
                <w:szCs w:val="20"/>
              </w:rPr>
              <w:t>(n = 233669)</w:t>
            </w:r>
          </w:p>
        </w:tc>
      </w:tr>
      <w:tr w:rsidR="00A029FC" w14:paraId="7B320B1C" w14:textId="77777777" w:rsidTr="00A029FC">
        <w:trPr>
          <w:trHeight w:val="315"/>
        </w:trPr>
        <w:tc>
          <w:tcPr>
            <w:tcW w:w="0" w:type="auto"/>
            <w:tcBorders>
              <w:top w:val="single" w:sz="6" w:space="0" w:color="000000"/>
            </w:tcBorders>
            <w:tcMar>
              <w:top w:w="40" w:type="dxa"/>
              <w:left w:w="40" w:type="dxa"/>
              <w:bottom w:w="40" w:type="dxa"/>
              <w:right w:w="40" w:type="dxa"/>
            </w:tcMar>
            <w:vAlign w:val="center"/>
            <w:hideMark/>
          </w:tcPr>
          <w:p w14:paraId="3BBC155A" w14:textId="77777777" w:rsidR="00A029FC" w:rsidRDefault="00A029FC">
            <w:pPr>
              <w:pStyle w:val="NormalWeb"/>
              <w:spacing w:before="0" w:beforeAutospacing="0" w:after="0" w:afterAutospacing="0"/>
              <w:jc w:val="center"/>
            </w:pPr>
            <w:r>
              <w:rPr>
                <w:rFonts w:ascii="Arial" w:hAnsi="Arial" w:cs="Arial"/>
                <w:color w:val="000000"/>
                <w:sz w:val="20"/>
                <w:szCs w:val="20"/>
              </w:rPr>
              <w:t>Transtornos tireoidianos relac deficiência iodo</w:t>
            </w:r>
          </w:p>
        </w:tc>
        <w:tc>
          <w:tcPr>
            <w:tcW w:w="0" w:type="auto"/>
            <w:tcBorders>
              <w:top w:val="single" w:sz="6" w:space="0" w:color="000000"/>
            </w:tcBorders>
            <w:tcMar>
              <w:top w:w="40" w:type="dxa"/>
              <w:left w:w="40" w:type="dxa"/>
              <w:bottom w:w="40" w:type="dxa"/>
              <w:right w:w="40" w:type="dxa"/>
            </w:tcMar>
            <w:vAlign w:val="center"/>
            <w:hideMark/>
          </w:tcPr>
          <w:p w14:paraId="398BFAAF" w14:textId="77777777" w:rsidR="00A029FC" w:rsidRDefault="00A029FC">
            <w:pPr>
              <w:pStyle w:val="NormalWeb"/>
              <w:spacing w:before="0" w:beforeAutospacing="0" w:after="0" w:afterAutospacing="0"/>
              <w:jc w:val="center"/>
            </w:pPr>
            <w:r>
              <w:rPr>
                <w:rFonts w:ascii="Arial" w:hAnsi="Arial" w:cs="Arial"/>
                <w:color w:val="000000"/>
                <w:sz w:val="20"/>
                <w:szCs w:val="20"/>
              </w:rPr>
              <w:t>7 (0,06%)</w:t>
            </w:r>
          </w:p>
        </w:tc>
        <w:tc>
          <w:tcPr>
            <w:tcW w:w="0" w:type="auto"/>
            <w:tcBorders>
              <w:top w:val="single" w:sz="6" w:space="0" w:color="000000"/>
            </w:tcBorders>
            <w:tcMar>
              <w:top w:w="40" w:type="dxa"/>
              <w:left w:w="40" w:type="dxa"/>
              <w:bottom w:w="40" w:type="dxa"/>
              <w:right w:w="40" w:type="dxa"/>
            </w:tcMar>
            <w:vAlign w:val="center"/>
            <w:hideMark/>
          </w:tcPr>
          <w:p w14:paraId="4A1CCF02" w14:textId="77777777" w:rsidR="00A029FC" w:rsidRDefault="00A029FC">
            <w:pPr>
              <w:pStyle w:val="NormalWeb"/>
              <w:spacing w:before="0" w:beforeAutospacing="0" w:after="0" w:afterAutospacing="0"/>
              <w:jc w:val="center"/>
            </w:pPr>
            <w:r>
              <w:rPr>
                <w:rFonts w:ascii="Arial" w:hAnsi="Arial" w:cs="Arial"/>
                <w:color w:val="000000"/>
                <w:sz w:val="20"/>
                <w:szCs w:val="20"/>
              </w:rPr>
              <w:t>15 (0,02%)</w:t>
            </w:r>
          </w:p>
        </w:tc>
        <w:tc>
          <w:tcPr>
            <w:tcW w:w="0" w:type="auto"/>
            <w:tcBorders>
              <w:top w:val="single" w:sz="6" w:space="0" w:color="000000"/>
            </w:tcBorders>
            <w:tcMar>
              <w:top w:w="40" w:type="dxa"/>
              <w:left w:w="40" w:type="dxa"/>
              <w:bottom w:w="40" w:type="dxa"/>
              <w:right w:w="40" w:type="dxa"/>
            </w:tcMar>
            <w:vAlign w:val="center"/>
            <w:hideMark/>
          </w:tcPr>
          <w:p w14:paraId="4E3E6BD9" w14:textId="77777777" w:rsidR="00A029FC" w:rsidRDefault="00A029FC">
            <w:pPr>
              <w:pStyle w:val="NormalWeb"/>
              <w:spacing w:before="0" w:beforeAutospacing="0" w:after="0" w:afterAutospacing="0"/>
              <w:jc w:val="center"/>
            </w:pPr>
            <w:r>
              <w:rPr>
                <w:rFonts w:ascii="Arial" w:hAnsi="Arial" w:cs="Arial"/>
                <w:color w:val="000000"/>
                <w:sz w:val="20"/>
                <w:szCs w:val="20"/>
              </w:rPr>
              <w:t>26 (0,02%)</w:t>
            </w:r>
          </w:p>
        </w:tc>
        <w:tc>
          <w:tcPr>
            <w:tcW w:w="0" w:type="auto"/>
            <w:tcBorders>
              <w:top w:val="single" w:sz="6" w:space="0" w:color="000000"/>
            </w:tcBorders>
            <w:tcMar>
              <w:top w:w="40" w:type="dxa"/>
              <w:left w:w="40" w:type="dxa"/>
              <w:bottom w:w="40" w:type="dxa"/>
              <w:right w:w="40" w:type="dxa"/>
            </w:tcMar>
            <w:vAlign w:val="center"/>
            <w:hideMark/>
          </w:tcPr>
          <w:p w14:paraId="4BBC41CB" w14:textId="77777777" w:rsidR="00A029FC" w:rsidRDefault="00A029FC">
            <w:pPr>
              <w:pStyle w:val="NormalWeb"/>
              <w:spacing w:before="0" w:beforeAutospacing="0" w:after="0" w:afterAutospacing="0"/>
              <w:jc w:val="center"/>
            </w:pPr>
            <w:r>
              <w:rPr>
                <w:rFonts w:ascii="Arial" w:hAnsi="Arial" w:cs="Arial"/>
                <w:color w:val="000000"/>
                <w:sz w:val="20"/>
                <w:szCs w:val="20"/>
              </w:rPr>
              <w:t>8 (0,03%)</w:t>
            </w:r>
          </w:p>
        </w:tc>
        <w:tc>
          <w:tcPr>
            <w:tcW w:w="0" w:type="auto"/>
            <w:tcBorders>
              <w:top w:val="single" w:sz="6" w:space="0" w:color="000000"/>
            </w:tcBorders>
            <w:tcMar>
              <w:top w:w="40" w:type="dxa"/>
              <w:left w:w="40" w:type="dxa"/>
              <w:bottom w:w="40" w:type="dxa"/>
              <w:right w:w="40" w:type="dxa"/>
            </w:tcMar>
            <w:vAlign w:val="center"/>
            <w:hideMark/>
          </w:tcPr>
          <w:p w14:paraId="1034DA0C" w14:textId="77777777" w:rsidR="00A029FC" w:rsidRDefault="00A029FC">
            <w:pPr>
              <w:pStyle w:val="NormalWeb"/>
              <w:spacing w:before="0" w:beforeAutospacing="0" w:after="0" w:afterAutospacing="0"/>
              <w:jc w:val="center"/>
            </w:pPr>
            <w:r>
              <w:rPr>
                <w:rFonts w:ascii="Arial" w:hAnsi="Arial" w:cs="Arial"/>
                <w:color w:val="000000"/>
                <w:sz w:val="20"/>
                <w:szCs w:val="20"/>
              </w:rPr>
              <w:t>5 (0,04%)</w:t>
            </w:r>
          </w:p>
        </w:tc>
        <w:tc>
          <w:tcPr>
            <w:tcW w:w="0" w:type="auto"/>
            <w:tcBorders>
              <w:top w:val="single" w:sz="8" w:space="0" w:color="000000"/>
            </w:tcBorders>
            <w:tcMar>
              <w:top w:w="40" w:type="dxa"/>
              <w:left w:w="40" w:type="dxa"/>
              <w:bottom w:w="40" w:type="dxa"/>
              <w:right w:w="40" w:type="dxa"/>
            </w:tcMar>
            <w:vAlign w:val="center"/>
            <w:hideMark/>
          </w:tcPr>
          <w:p w14:paraId="569DB4E8" w14:textId="77777777" w:rsidR="00A029FC" w:rsidRDefault="00A029FC">
            <w:pPr>
              <w:pStyle w:val="NormalWeb"/>
              <w:spacing w:before="0" w:beforeAutospacing="0" w:after="0" w:afterAutospacing="0"/>
              <w:jc w:val="center"/>
            </w:pPr>
            <w:r>
              <w:rPr>
                <w:rFonts w:ascii="Arial" w:hAnsi="Arial" w:cs="Arial"/>
                <w:color w:val="000000"/>
                <w:sz w:val="20"/>
                <w:szCs w:val="20"/>
              </w:rPr>
              <w:t>61 (0,03%)</w:t>
            </w:r>
          </w:p>
        </w:tc>
      </w:tr>
      <w:tr w:rsidR="00A029FC" w14:paraId="79C759D6" w14:textId="77777777" w:rsidTr="00A029FC">
        <w:trPr>
          <w:trHeight w:val="315"/>
        </w:trPr>
        <w:tc>
          <w:tcPr>
            <w:tcW w:w="0" w:type="auto"/>
            <w:tcMar>
              <w:top w:w="40" w:type="dxa"/>
              <w:left w:w="40" w:type="dxa"/>
              <w:bottom w:w="40" w:type="dxa"/>
              <w:right w:w="40" w:type="dxa"/>
            </w:tcMar>
            <w:vAlign w:val="center"/>
            <w:hideMark/>
          </w:tcPr>
          <w:p w14:paraId="49E1216A" w14:textId="77777777" w:rsidR="00A029FC" w:rsidRDefault="00A029FC">
            <w:pPr>
              <w:pStyle w:val="NormalWeb"/>
              <w:spacing w:before="0" w:beforeAutospacing="0" w:after="0" w:afterAutospacing="0"/>
              <w:jc w:val="center"/>
            </w:pPr>
            <w:r>
              <w:rPr>
                <w:rFonts w:ascii="Arial" w:hAnsi="Arial" w:cs="Arial"/>
                <w:color w:val="000000"/>
                <w:sz w:val="20"/>
                <w:szCs w:val="20"/>
              </w:rPr>
              <w:t>Tireotoxicose</w:t>
            </w:r>
          </w:p>
        </w:tc>
        <w:tc>
          <w:tcPr>
            <w:tcW w:w="0" w:type="auto"/>
            <w:tcMar>
              <w:top w:w="40" w:type="dxa"/>
              <w:left w:w="40" w:type="dxa"/>
              <w:bottom w:w="40" w:type="dxa"/>
              <w:right w:w="40" w:type="dxa"/>
            </w:tcMar>
            <w:vAlign w:val="center"/>
            <w:hideMark/>
          </w:tcPr>
          <w:p w14:paraId="5CCBBD3E" w14:textId="77777777" w:rsidR="00A029FC" w:rsidRDefault="00A029FC">
            <w:pPr>
              <w:pStyle w:val="NormalWeb"/>
              <w:spacing w:before="0" w:beforeAutospacing="0" w:after="0" w:afterAutospacing="0"/>
              <w:jc w:val="center"/>
            </w:pPr>
            <w:r>
              <w:rPr>
                <w:rFonts w:ascii="Arial" w:hAnsi="Arial" w:cs="Arial"/>
                <w:color w:val="000000"/>
                <w:sz w:val="20"/>
                <w:szCs w:val="20"/>
              </w:rPr>
              <w:t>15 (0,12%)</w:t>
            </w:r>
          </w:p>
        </w:tc>
        <w:tc>
          <w:tcPr>
            <w:tcW w:w="0" w:type="auto"/>
            <w:tcMar>
              <w:top w:w="40" w:type="dxa"/>
              <w:left w:w="40" w:type="dxa"/>
              <w:bottom w:w="40" w:type="dxa"/>
              <w:right w:w="40" w:type="dxa"/>
            </w:tcMar>
            <w:vAlign w:val="center"/>
            <w:hideMark/>
          </w:tcPr>
          <w:p w14:paraId="0F27D648" w14:textId="77777777" w:rsidR="00A029FC" w:rsidRDefault="00A029FC">
            <w:pPr>
              <w:pStyle w:val="NormalWeb"/>
              <w:spacing w:before="0" w:beforeAutospacing="0" w:after="0" w:afterAutospacing="0"/>
              <w:jc w:val="center"/>
            </w:pPr>
            <w:r>
              <w:rPr>
                <w:rFonts w:ascii="Arial" w:hAnsi="Arial" w:cs="Arial"/>
                <w:color w:val="000000"/>
                <w:sz w:val="20"/>
                <w:szCs w:val="20"/>
              </w:rPr>
              <w:t>39 (0,06%)</w:t>
            </w:r>
          </w:p>
        </w:tc>
        <w:tc>
          <w:tcPr>
            <w:tcW w:w="0" w:type="auto"/>
            <w:tcMar>
              <w:top w:w="40" w:type="dxa"/>
              <w:left w:w="40" w:type="dxa"/>
              <w:bottom w:w="40" w:type="dxa"/>
              <w:right w:w="40" w:type="dxa"/>
            </w:tcMar>
            <w:vAlign w:val="center"/>
            <w:hideMark/>
          </w:tcPr>
          <w:p w14:paraId="06544B12" w14:textId="77777777" w:rsidR="00A029FC" w:rsidRDefault="00A029FC">
            <w:pPr>
              <w:pStyle w:val="NormalWeb"/>
              <w:spacing w:before="0" w:beforeAutospacing="0" w:after="0" w:afterAutospacing="0"/>
              <w:jc w:val="center"/>
            </w:pPr>
            <w:r>
              <w:rPr>
                <w:rFonts w:ascii="Arial" w:hAnsi="Arial" w:cs="Arial"/>
                <w:color w:val="000000"/>
                <w:sz w:val="20"/>
                <w:szCs w:val="20"/>
              </w:rPr>
              <w:t>83 (0,07%)</w:t>
            </w:r>
          </w:p>
        </w:tc>
        <w:tc>
          <w:tcPr>
            <w:tcW w:w="0" w:type="auto"/>
            <w:tcMar>
              <w:top w:w="40" w:type="dxa"/>
              <w:left w:w="40" w:type="dxa"/>
              <w:bottom w:w="40" w:type="dxa"/>
              <w:right w:w="40" w:type="dxa"/>
            </w:tcMar>
            <w:vAlign w:val="center"/>
            <w:hideMark/>
          </w:tcPr>
          <w:p w14:paraId="6AD0ACE1" w14:textId="77777777" w:rsidR="00A029FC" w:rsidRDefault="00A029FC">
            <w:pPr>
              <w:pStyle w:val="NormalWeb"/>
              <w:spacing w:before="0" w:beforeAutospacing="0" w:after="0" w:afterAutospacing="0"/>
              <w:jc w:val="center"/>
            </w:pPr>
            <w:r>
              <w:rPr>
                <w:rFonts w:ascii="Arial" w:hAnsi="Arial" w:cs="Arial"/>
                <w:color w:val="000000"/>
                <w:sz w:val="20"/>
                <w:szCs w:val="20"/>
              </w:rPr>
              <w:t>19 (0,06%)</w:t>
            </w:r>
          </w:p>
        </w:tc>
        <w:tc>
          <w:tcPr>
            <w:tcW w:w="0" w:type="auto"/>
            <w:tcMar>
              <w:top w:w="40" w:type="dxa"/>
              <w:left w:w="40" w:type="dxa"/>
              <w:bottom w:w="40" w:type="dxa"/>
              <w:right w:w="40" w:type="dxa"/>
            </w:tcMar>
            <w:vAlign w:val="center"/>
            <w:hideMark/>
          </w:tcPr>
          <w:p w14:paraId="62852E8B" w14:textId="77777777" w:rsidR="00A029FC" w:rsidRDefault="00A029FC">
            <w:pPr>
              <w:pStyle w:val="NormalWeb"/>
              <w:spacing w:before="0" w:beforeAutospacing="0" w:after="0" w:afterAutospacing="0"/>
              <w:jc w:val="center"/>
            </w:pPr>
            <w:r>
              <w:rPr>
                <w:rFonts w:ascii="Arial" w:hAnsi="Arial" w:cs="Arial"/>
                <w:color w:val="000000"/>
                <w:sz w:val="20"/>
                <w:szCs w:val="20"/>
              </w:rPr>
              <w:t>22 (0,18%)</w:t>
            </w:r>
          </w:p>
        </w:tc>
        <w:tc>
          <w:tcPr>
            <w:tcW w:w="0" w:type="auto"/>
            <w:tcMar>
              <w:top w:w="40" w:type="dxa"/>
              <w:left w:w="40" w:type="dxa"/>
              <w:bottom w:w="40" w:type="dxa"/>
              <w:right w:w="40" w:type="dxa"/>
            </w:tcMar>
            <w:vAlign w:val="center"/>
            <w:hideMark/>
          </w:tcPr>
          <w:p w14:paraId="2A577F9C" w14:textId="77777777" w:rsidR="00A029FC" w:rsidRDefault="00A029FC">
            <w:pPr>
              <w:pStyle w:val="NormalWeb"/>
              <w:spacing w:before="0" w:beforeAutospacing="0" w:after="0" w:afterAutospacing="0"/>
              <w:jc w:val="center"/>
            </w:pPr>
            <w:r>
              <w:rPr>
                <w:rFonts w:ascii="Arial" w:hAnsi="Arial" w:cs="Arial"/>
                <w:color w:val="000000"/>
                <w:sz w:val="20"/>
                <w:szCs w:val="20"/>
              </w:rPr>
              <w:t>178 (0,08%)</w:t>
            </w:r>
          </w:p>
        </w:tc>
      </w:tr>
      <w:tr w:rsidR="00A029FC" w14:paraId="3496E286" w14:textId="77777777" w:rsidTr="00A029FC">
        <w:trPr>
          <w:trHeight w:val="315"/>
        </w:trPr>
        <w:tc>
          <w:tcPr>
            <w:tcW w:w="0" w:type="auto"/>
            <w:tcMar>
              <w:top w:w="40" w:type="dxa"/>
              <w:left w:w="40" w:type="dxa"/>
              <w:bottom w:w="40" w:type="dxa"/>
              <w:right w:w="40" w:type="dxa"/>
            </w:tcMar>
            <w:vAlign w:val="center"/>
            <w:hideMark/>
          </w:tcPr>
          <w:p w14:paraId="6FCE6299" w14:textId="77777777" w:rsidR="00A029FC" w:rsidRDefault="00A029FC">
            <w:pPr>
              <w:pStyle w:val="NormalWeb"/>
              <w:spacing w:before="0" w:beforeAutospacing="0" w:after="0" w:afterAutospacing="0"/>
              <w:jc w:val="center"/>
            </w:pPr>
            <w:r>
              <w:rPr>
                <w:rFonts w:ascii="Arial" w:hAnsi="Arial" w:cs="Arial"/>
                <w:color w:val="000000"/>
                <w:sz w:val="20"/>
                <w:szCs w:val="20"/>
              </w:rPr>
              <w:t>Outros transtornos tireoidianos</w:t>
            </w:r>
          </w:p>
        </w:tc>
        <w:tc>
          <w:tcPr>
            <w:tcW w:w="0" w:type="auto"/>
            <w:tcMar>
              <w:top w:w="40" w:type="dxa"/>
              <w:left w:w="40" w:type="dxa"/>
              <w:bottom w:w="40" w:type="dxa"/>
              <w:right w:w="40" w:type="dxa"/>
            </w:tcMar>
            <w:vAlign w:val="center"/>
            <w:hideMark/>
          </w:tcPr>
          <w:p w14:paraId="5BA96B29" w14:textId="77777777" w:rsidR="00A029FC" w:rsidRDefault="00A029FC">
            <w:pPr>
              <w:pStyle w:val="NormalWeb"/>
              <w:spacing w:before="0" w:beforeAutospacing="0" w:after="0" w:afterAutospacing="0"/>
              <w:jc w:val="center"/>
            </w:pPr>
            <w:r>
              <w:rPr>
                <w:rFonts w:ascii="Arial" w:hAnsi="Arial" w:cs="Arial"/>
                <w:color w:val="000000"/>
                <w:sz w:val="20"/>
                <w:szCs w:val="20"/>
              </w:rPr>
              <w:t>55 (0,43%)</w:t>
            </w:r>
          </w:p>
        </w:tc>
        <w:tc>
          <w:tcPr>
            <w:tcW w:w="0" w:type="auto"/>
            <w:tcMar>
              <w:top w:w="40" w:type="dxa"/>
              <w:left w:w="40" w:type="dxa"/>
              <w:bottom w:w="40" w:type="dxa"/>
              <w:right w:w="40" w:type="dxa"/>
            </w:tcMar>
            <w:vAlign w:val="center"/>
            <w:hideMark/>
          </w:tcPr>
          <w:p w14:paraId="0D80ED2C" w14:textId="77777777" w:rsidR="00A029FC" w:rsidRDefault="00A029FC">
            <w:pPr>
              <w:pStyle w:val="NormalWeb"/>
              <w:spacing w:before="0" w:beforeAutospacing="0" w:after="0" w:afterAutospacing="0"/>
              <w:jc w:val="center"/>
            </w:pPr>
            <w:r>
              <w:rPr>
                <w:rFonts w:ascii="Arial" w:hAnsi="Arial" w:cs="Arial"/>
                <w:color w:val="000000"/>
                <w:sz w:val="20"/>
                <w:szCs w:val="20"/>
              </w:rPr>
              <w:t>150 (0,23%)</w:t>
            </w:r>
          </w:p>
        </w:tc>
        <w:tc>
          <w:tcPr>
            <w:tcW w:w="0" w:type="auto"/>
            <w:tcMar>
              <w:top w:w="40" w:type="dxa"/>
              <w:left w:w="40" w:type="dxa"/>
              <w:bottom w:w="40" w:type="dxa"/>
              <w:right w:w="40" w:type="dxa"/>
            </w:tcMar>
            <w:vAlign w:val="center"/>
            <w:hideMark/>
          </w:tcPr>
          <w:p w14:paraId="26176C54" w14:textId="77777777" w:rsidR="00A029FC" w:rsidRDefault="00A029FC">
            <w:pPr>
              <w:pStyle w:val="NormalWeb"/>
              <w:spacing w:before="0" w:beforeAutospacing="0" w:after="0" w:afterAutospacing="0"/>
              <w:jc w:val="center"/>
            </w:pPr>
            <w:r>
              <w:rPr>
                <w:rFonts w:ascii="Arial" w:hAnsi="Arial" w:cs="Arial"/>
                <w:color w:val="000000"/>
                <w:sz w:val="20"/>
                <w:szCs w:val="20"/>
              </w:rPr>
              <w:t>187 (0,17%)</w:t>
            </w:r>
          </w:p>
        </w:tc>
        <w:tc>
          <w:tcPr>
            <w:tcW w:w="0" w:type="auto"/>
            <w:tcMar>
              <w:top w:w="40" w:type="dxa"/>
              <w:left w:w="40" w:type="dxa"/>
              <w:bottom w:w="40" w:type="dxa"/>
              <w:right w:w="40" w:type="dxa"/>
            </w:tcMar>
            <w:vAlign w:val="center"/>
            <w:hideMark/>
          </w:tcPr>
          <w:p w14:paraId="6BA3A6F5" w14:textId="77777777" w:rsidR="00A029FC" w:rsidRDefault="00A029FC">
            <w:pPr>
              <w:pStyle w:val="NormalWeb"/>
              <w:spacing w:before="0" w:beforeAutospacing="0" w:after="0" w:afterAutospacing="0"/>
              <w:jc w:val="center"/>
            </w:pPr>
            <w:r>
              <w:rPr>
                <w:rFonts w:ascii="Arial" w:hAnsi="Arial" w:cs="Arial"/>
                <w:color w:val="000000"/>
                <w:sz w:val="20"/>
                <w:szCs w:val="20"/>
              </w:rPr>
              <w:t>70 (0,22%)</w:t>
            </w:r>
          </w:p>
        </w:tc>
        <w:tc>
          <w:tcPr>
            <w:tcW w:w="0" w:type="auto"/>
            <w:tcMar>
              <w:top w:w="40" w:type="dxa"/>
              <w:left w:w="40" w:type="dxa"/>
              <w:bottom w:w="40" w:type="dxa"/>
              <w:right w:w="40" w:type="dxa"/>
            </w:tcMar>
            <w:vAlign w:val="center"/>
            <w:hideMark/>
          </w:tcPr>
          <w:p w14:paraId="0048FA0C" w14:textId="77777777" w:rsidR="00A029FC" w:rsidRDefault="00A029FC">
            <w:pPr>
              <w:pStyle w:val="NormalWeb"/>
              <w:spacing w:before="0" w:beforeAutospacing="0" w:after="0" w:afterAutospacing="0"/>
              <w:jc w:val="center"/>
            </w:pPr>
            <w:r>
              <w:rPr>
                <w:rFonts w:ascii="Arial" w:hAnsi="Arial" w:cs="Arial"/>
                <w:color w:val="000000"/>
                <w:sz w:val="20"/>
                <w:szCs w:val="20"/>
              </w:rPr>
              <w:t>40 (0,33%)</w:t>
            </w:r>
          </w:p>
        </w:tc>
        <w:tc>
          <w:tcPr>
            <w:tcW w:w="0" w:type="auto"/>
            <w:tcMar>
              <w:top w:w="40" w:type="dxa"/>
              <w:left w:w="40" w:type="dxa"/>
              <w:bottom w:w="40" w:type="dxa"/>
              <w:right w:w="40" w:type="dxa"/>
            </w:tcMar>
            <w:vAlign w:val="center"/>
            <w:hideMark/>
          </w:tcPr>
          <w:p w14:paraId="0AAD4759" w14:textId="77777777" w:rsidR="00A029FC" w:rsidRDefault="00A029FC">
            <w:pPr>
              <w:pStyle w:val="NormalWeb"/>
              <w:spacing w:before="0" w:beforeAutospacing="0" w:after="0" w:afterAutospacing="0"/>
              <w:jc w:val="center"/>
            </w:pPr>
            <w:r>
              <w:rPr>
                <w:rFonts w:ascii="Arial" w:hAnsi="Arial" w:cs="Arial"/>
                <w:color w:val="000000"/>
                <w:sz w:val="20"/>
                <w:szCs w:val="20"/>
              </w:rPr>
              <w:t>502 (0,21%)</w:t>
            </w:r>
          </w:p>
        </w:tc>
      </w:tr>
      <w:tr w:rsidR="00A029FC" w14:paraId="1F3D035B" w14:textId="77777777" w:rsidTr="00A029FC">
        <w:trPr>
          <w:trHeight w:val="510"/>
        </w:trPr>
        <w:tc>
          <w:tcPr>
            <w:tcW w:w="0" w:type="auto"/>
            <w:tcMar>
              <w:top w:w="40" w:type="dxa"/>
              <w:left w:w="40" w:type="dxa"/>
              <w:bottom w:w="40" w:type="dxa"/>
              <w:right w:w="40" w:type="dxa"/>
            </w:tcMar>
            <w:vAlign w:val="center"/>
            <w:hideMark/>
          </w:tcPr>
          <w:p w14:paraId="1B7CF195" w14:textId="77777777" w:rsidR="00A029FC" w:rsidRDefault="00A029FC">
            <w:pPr>
              <w:pStyle w:val="NormalWeb"/>
              <w:spacing w:before="0" w:beforeAutospacing="0" w:after="0" w:afterAutospacing="0"/>
              <w:jc w:val="center"/>
            </w:pPr>
            <w:r>
              <w:rPr>
                <w:rFonts w:ascii="Arial" w:hAnsi="Arial" w:cs="Arial"/>
                <w:color w:val="000000"/>
                <w:sz w:val="20"/>
                <w:szCs w:val="20"/>
              </w:rPr>
              <w:t>Diabetes mellitus</w:t>
            </w:r>
          </w:p>
        </w:tc>
        <w:tc>
          <w:tcPr>
            <w:tcW w:w="0" w:type="auto"/>
            <w:tcMar>
              <w:top w:w="40" w:type="dxa"/>
              <w:left w:w="40" w:type="dxa"/>
              <w:bottom w:w="40" w:type="dxa"/>
              <w:right w:w="40" w:type="dxa"/>
            </w:tcMar>
            <w:vAlign w:val="center"/>
            <w:hideMark/>
          </w:tcPr>
          <w:p w14:paraId="234CB397" w14:textId="77777777" w:rsidR="00A029FC" w:rsidRDefault="00A029FC">
            <w:pPr>
              <w:pStyle w:val="NormalWeb"/>
              <w:spacing w:before="0" w:beforeAutospacing="0" w:after="0" w:afterAutospacing="0"/>
              <w:jc w:val="center"/>
            </w:pPr>
            <w:r>
              <w:rPr>
                <w:rFonts w:ascii="Arial" w:hAnsi="Arial" w:cs="Arial"/>
                <w:color w:val="000000"/>
                <w:sz w:val="20"/>
                <w:szCs w:val="20"/>
              </w:rPr>
              <w:t>8231 (65,07%)</w:t>
            </w:r>
          </w:p>
        </w:tc>
        <w:tc>
          <w:tcPr>
            <w:tcW w:w="0" w:type="auto"/>
            <w:tcMar>
              <w:top w:w="40" w:type="dxa"/>
              <w:left w:w="40" w:type="dxa"/>
              <w:bottom w:w="40" w:type="dxa"/>
              <w:right w:w="40" w:type="dxa"/>
            </w:tcMar>
            <w:vAlign w:val="center"/>
            <w:hideMark/>
          </w:tcPr>
          <w:p w14:paraId="50926A81" w14:textId="77777777" w:rsidR="00A029FC" w:rsidRDefault="00A029FC">
            <w:pPr>
              <w:pStyle w:val="NormalWeb"/>
              <w:spacing w:before="0" w:beforeAutospacing="0" w:after="0" w:afterAutospacing="0"/>
              <w:jc w:val="center"/>
            </w:pPr>
            <w:r>
              <w:rPr>
                <w:rFonts w:ascii="Arial" w:hAnsi="Arial" w:cs="Arial"/>
                <w:color w:val="000000"/>
                <w:sz w:val="20"/>
                <w:szCs w:val="20"/>
              </w:rPr>
              <w:t>34439 (52,13%)</w:t>
            </w:r>
          </w:p>
        </w:tc>
        <w:tc>
          <w:tcPr>
            <w:tcW w:w="0" w:type="auto"/>
            <w:tcMar>
              <w:top w:w="40" w:type="dxa"/>
              <w:left w:w="40" w:type="dxa"/>
              <w:bottom w:w="40" w:type="dxa"/>
              <w:right w:w="40" w:type="dxa"/>
            </w:tcMar>
            <w:vAlign w:val="center"/>
            <w:hideMark/>
          </w:tcPr>
          <w:p w14:paraId="1C0CB35D" w14:textId="77777777" w:rsidR="00A029FC" w:rsidRDefault="00A029FC">
            <w:pPr>
              <w:pStyle w:val="NormalWeb"/>
              <w:spacing w:before="0" w:beforeAutospacing="0" w:after="0" w:afterAutospacing="0"/>
              <w:jc w:val="center"/>
            </w:pPr>
            <w:r>
              <w:rPr>
                <w:rFonts w:ascii="Arial" w:hAnsi="Arial" w:cs="Arial"/>
                <w:color w:val="000000"/>
                <w:sz w:val="20"/>
                <w:szCs w:val="20"/>
              </w:rPr>
              <w:t>37473 (33,64%)</w:t>
            </w:r>
          </w:p>
        </w:tc>
        <w:tc>
          <w:tcPr>
            <w:tcW w:w="0" w:type="auto"/>
            <w:tcMar>
              <w:top w:w="40" w:type="dxa"/>
              <w:left w:w="40" w:type="dxa"/>
              <w:bottom w:w="40" w:type="dxa"/>
              <w:right w:w="40" w:type="dxa"/>
            </w:tcMar>
            <w:vAlign w:val="center"/>
            <w:hideMark/>
          </w:tcPr>
          <w:p w14:paraId="2E49C683" w14:textId="77777777" w:rsidR="00A029FC" w:rsidRDefault="00A029FC">
            <w:pPr>
              <w:pStyle w:val="NormalWeb"/>
              <w:spacing w:before="0" w:beforeAutospacing="0" w:after="0" w:afterAutospacing="0"/>
              <w:jc w:val="center"/>
            </w:pPr>
            <w:r>
              <w:rPr>
                <w:rFonts w:ascii="Arial" w:hAnsi="Arial" w:cs="Arial"/>
                <w:color w:val="000000"/>
                <w:sz w:val="20"/>
                <w:szCs w:val="20"/>
              </w:rPr>
              <w:t>12013 (38,35%)</w:t>
            </w:r>
          </w:p>
        </w:tc>
        <w:tc>
          <w:tcPr>
            <w:tcW w:w="0" w:type="auto"/>
            <w:tcMar>
              <w:top w:w="40" w:type="dxa"/>
              <w:left w:w="40" w:type="dxa"/>
              <w:bottom w:w="40" w:type="dxa"/>
              <w:right w:w="40" w:type="dxa"/>
            </w:tcMar>
            <w:vAlign w:val="center"/>
            <w:hideMark/>
          </w:tcPr>
          <w:p w14:paraId="5F514D41" w14:textId="77777777" w:rsidR="00A029FC" w:rsidRDefault="00A029FC">
            <w:pPr>
              <w:pStyle w:val="NormalWeb"/>
              <w:spacing w:before="0" w:beforeAutospacing="0" w:after="0" w:afterAutospacing="0"/>
              <w:jc w:val="center"/>
            </w:pPr>
            <w:r>
              <w:rPr>
                <w:rFonts w:ascii="Arial" w:hAnsi="Arial" w:cs="Arial"/>
                <w:color w:val="000000"/>
                <w:sz w:val="20"/>
                <w:szCs w:val="20"/>
              </w:rPr>
              <w:t>5274 (43,07%)</w:t>
            </w:r>
          </w:p>
        </w:tc>
        <w:tc>
          <w:tcPr>
            <w:tcW w:w="0" w:type="auto"/>
            <w:tcMar>
              <w:top w:w="40" w:type="dxa"/>
              <w:left w:w="40" w:type="dxa"/>
              <w:bottom w:w="40" w:type="dxa"/>
              <w:right w:w="40" w:type="dxa"/>
            </w:tcMar>
            <w:vAlign w:val="center"/>
            <w:hideMark/>
          </w:tcPr>
          <w:p w14:paraId="4D0DA342" w14:textId="77777777" w:rsidR="00A029FC" w:rsidRDefault="00A029FC">
            <w:pPr>
              <w:pStyle w:val="NormalWeb"/>
              <w:spacing w:before="0" w:beforeAutospacing="0" w:after="0" w:afterAutospacing="0"/>
              <w:jc w:val="center"/>
            </w:pPr>
            <w:r>
              <w:rPr>
                <w:rFonts w:ascii="Arial" w:hAnsi="Arial" w:cs="Arial"/>
                <w:color w:val="000000"/>
                <w:sz w:val="20"/>
                <w:szCs w:val="20"/>
              </w:rPr>
              <w:t>97430 (41,70%)</w:t>
            </w:r>
          </w:p>
        </w:tc>
      </w:tr>
      <w:tr w:rsidR="00A029FC" w14:paraId="56E27EED" w14:textId="77777777" w:rsidTr="00A029FC">
        <w:trPr>
          <w:trHeight w:val="510"/>
        </w:trPr>
        <w:tc>
          <w:tcPr>
            <w:tcW w:w="0" w:type="auto"/>
            <w:tcMar>
              <w:top w:w="40" w:type="dxa"/>
              <w:left w:w="40" w:type="dxa"/>
              <w:bottom w:w="40" w:type="dxa"/>
              <w:right w:w="40" w:type="dxa"/>
            </w:tcMar>
            <w:vAlign w:val="center"/>
            <w:hideMark/>
          </w:tcPr>
          <w:p w14:paraId="02B66E83" w14:textId="77777777" w:rsidR="00A029FC" w:rsidRDefault="00A029FC">
            <w:pPr>
              <w:pStyle w:val="NormalWeb"/>
              <w:spacing w:before="0" w:beforeAutospacing="0" w:after="0" w:afterAutospacing="0"/>
              <w:jc w:val="center"/>
            </w:pPr>
            <w:r>
              <w:rPr>
                <w:rFonts w:ascii="Arial" w:hAnsi="Arial" w:cs="Arial"/>
                <w:color w:val="000000"/>
                <w:sz w:val="20"/>
                <w:szCs w:val="20"/>
              </w:rPr>
              <w:t>Desnutrição</w:t>
            </w:r>
          </w:p>
        </w:tc>
        <w:tc>
          <w:tcPr>
            <w:tcW w:w="0" w:type="auto"/>
            <w:tcMar>
              <w:top w:w="40" w:type="dxa"/>
              <w:left w:w="40" w:type="dxa"/>
              <w:bottom w:w="40" w:type="dxa"/>
              <w:right w:w="40" w:type="dxa"/>
            </w:tcMar>
            <w:vAlign w:val="center"/>
            <w:hideMark/>
          </w:tcPr>
          <w:p w14:paraId="2BBA50C3" w14:textId="77777777" w:rsidR="00A029FC" w:rsidRDefault="00A029FC">
            <w:pPr>
              <w:pStyle w:val="NormalWeb"/>
              <w:spacing w:before="0" w:beforeAutospacing="0" w:after="0" w:afterAutospacing="0"/>
              <w:jc w:val="center"/>
            </w:pPr>
            <w:r>
              <w:rPr>
                <w:rFonts w:ascii="Arial" w:hAnsi="Arial" w:cs="Arial"/>
                <w:color w:val="000000"/>
                <w:sz w:val="20"/>
                <w:szCs w:val="20"/>
              </w:rPr>
              <w:t>2655 (20,99%)</w:t>
            </w:r>
          </w:p>
        </w:tc>
        <w:tc>
          <w:tcPr>
            <w:tcW w:w="0" w:type="auto"/>
            <w:tcMar>
              <w:top w:w="40" w:type="dxa"/>
              <w:left w:w="40" w:type="dxa"/>
              <w:bottom w:w="40" w:type="dxa"/>
              <w:right w:w="40" w:type="dxa"/>
            </w:tcMar>
            <w:vAlign w:val="center"/>
            <w:hideMark/>
          </w:tcPr>
          <w:p w14:paraId="25B91306" w14:textId="77777777" w:rsidR="00A029FC" w:rsidRDefault="00A029FC">
            <w:pPr>
              <w:pStyle w:val="NormalWeb"/>
              <w:spacing w:before="0" w:beforeAutospacing="0" w:after="0" w:afterAutospacing="0"/>
              <w:jc w:val="center"/>
            </w:pPr>
            <w:r>
              <w:rPr>
                <w:rFonts w:ascii="Arial" w:hAnsi="Arial" w:cs="Arial"/>
                <w:color w:val="000000"/>
                <w:sz w:val="20"/>
                <w:szCs w:val="20"/>
              </w:rPr>
              <w:t>20170 (30,53%)</w:t>
            </w:r>
          </w:p>
        </w:tc>
        <w:tc>
          <w:tcPr>
            <w:tcW w:w="0" w:type="auto"/>
            <w:tcMar>
              <w:top w:w="40" w:type="dxa"/>
              <w:left w:w="40" w:type="dxa"/>
              <w:bottom w:w="40" w:type="dxa"/>
              <w:right w:w="40" w:type="dxa"/>
            </w:tcMar>
            <w:vAlign w:val="center"/>
            <w:hideMark/>
          </w:tcPr>
          <w:p w14:paraId="481B90EA" w14:textId="77777777" w:rsidR="00A029FC" w:rsidRDefault="00A029FC">
            <w:pPr>
              <w:pStyle w:val="NormalWeb"/>
              <w:spacing w:before="0" w:beforeAutospacing="0" w:after="0" w:afterAutospacing="0"/>
              <w:jc w:val="center"/>
            </w:pPr>
            <w:r>
              <w:rPr>
                <w:rFonts w:ascii="Arial" w:hAnsi="Arial" w:cs="Arial"/>
                <w:color w:val="000000"/>
                <w:sz w:val="20"/>
                <w:szCs w:val="20"/>
              </w:rPr>
              <w:t>42524 (38,18%)</w:t>
            </w:r>
          </w:p>
        </w:tc>
        <w:tc>
          <w:tcPr>
            <w:tcW w:w="0" w:type="auto"/>
            <w:tcMar>
              <w:top w:w="40" w:type="dxa"/>
              <w:left w:w="40" w:type="dxa"/>
              <w:bottom w:w="40" w:type="dxa"/>
              <w:right w:w="40" w:type="dxa"/>
            </w:tcMar>
            <w:vAlign w:val="center"/>
            <w:hideMark/>
          </w:tcPr>
          <w:p w14:paraId="649342A3" w14:textId="77777777" w:rsidR="00A029FC" w:rsidRDefault="00A029FC">
            <w:pPr>
              <w:pStyle w:val="NormalWeb"/>
              <w:spacing w:before="0" w:beforeAutospacing="0" w:after="0" w:afterAutospacing="0"/>
              <w:jc w:val="center"/>
            </w:pPr>
            <w:r>
              <w:rPr>
                <w:rFonts w:ascii="Arial" w:hAnsi="Arial" w:cs="Arial"/>
                <w:color w:val="000000"/>
                <w:sz w:val="20"/>
                <w:szCs w:val="20"/>
              </w:rPr>
              <w:t>13614 (43,46%)</w:t>
            </w:r>
          </w:p>
        </w:tc>
        <w:tc>
          <w:tcPr>
            <w:tcW w:w="0" w:type="auto"/>
            <w:tcMar>
              <w:top w:w="40" w:type="dxa"/>
              <w:left w:w="40" w:type="dxa"/>
              <w:bottom w:w="40" w:type="dxa"/>
              <w:right w:w="40" w:type="dxa"/>
            </w:tcMar>
            <w:vAlign w:val="center"/>
            <w:hideMark/>
          </w:tcPr>
          <w:p w14:paraId="00705B0F" w14:textId="77777777" w:rsidR="00A029FC" w:rsidRDefault="00A029FC">
            <w:pPr>
              <w:pStyle w:val="NormalWeb"/>
              <w:spacing w:before="0" w:beforeAutospacing="0" w:after="0" w:afterAutospacing="0"/>
              <w:jc w:val="center"/>
            </w:pPr>
            <w:r>
              <w:rPr>
                <w:rFonts w:ascii="Arial" w:hAnsi="Arial" w:cs="Arial"/>
                <w:color w:val="000000"/>
                <w:sz w:val="20"/>
                <w:szCs w:val="20"/>
              </w:rPr>
              <w:t>3484 (28,45%)</w:t>
            </w:r>
          </w:p>
        </w:tc>
        <w:tc>
          <w:tcPr>
            <w:tcW w:w="0" w:type="auto"/>
            <w:tcMar>
              <w:top w:w="40" w:type="dxa"/>
              <w:left w:w="40" w:type="dxa"/>
              <w:bottom w:w="40" w:type="dxa"/>
              <w:right w:w="40" w:type="dxa"/>
            </w:tcMar>
            <w:vAlign w:val="center"/>
            <w:hideMark/>
          </w:tcPr>
          <w:p w14:paraId="7161FAE1" w14:textId="77777777" w:rsidR="00A029FC" w:rsidRDefault="00A029FC">
            <w:pPr>
              <w:pStyle w:val="NormalWeb"/>
              <w:spacing w:before="0" w:beforeAutospacing="0" w:after="0" w:afterAutospacing="0"/>
              <w:jc w:val="center"/>
            </w:pPr>
            <w:r>
              <w:rPr>
                <w:rFonts w:ascii="Arial" w:hAnsi="Arial" w:cs="Arial"/>
                <w:color w:val="000000"/>
                <w:sz w:val="20"/>
                <w:szCs w:val="20"/>
              </w:rPr>
              <w:t>82447 (35,28%)</w:t>
            </w:r>
          </w:p>
        </w:tc>
      </w:tr>
      <w:tr w:rsidR="00A029FC" w14:paraId="0B5E8F47" w14:textId="77777777" w:rsidTr="00A029FC">
        <w:trPr>
          <w:trHeight w:val="315"/>
        </w:trPr>
        <w:tc>
          <w:tcPr>
            <w:tcW w:w="0" w:type="auto"/>
            <w:tcMar>
              <w:top w:w="40" w:type="dxa"/>
              <w:left w:w="40" w:type="dxa"/>
              <w:bottom w:w="40" w:type="dxa"/>
              <w:right w:w="40" w:type="dxa"/>
            </w:tcMar>
            <w:vAlign w:val="center"/>
            <w:hideMark/>
          </w:tcPr>
          <w:p w14:paraId="4A2C32C6" w14:textId="77777777" w:rsidR="00A029FC" w:rsidRDefault="00A029FC">
            <w:pPr>
              <w:pStyle w:val="NormalWeb"/>
              <w:spacing w:before="0" w:beforeAutospacing="0" w:after="0" w:afterAutospacing="0"/>
              <w:jc w:val="center"/>
            </w:pPr>
            <w:r>
              <w:rPr>
                <w:rFonts w:ascii="Arial" w:hAnsi="Arial" w:cs="Arial"/>
                <w:color w:val="000000"/>
                <w:sz w:val="20"/>
                <w:szCs w:val="20"/>
              </w:rPr>
              <w:t>Deficiência de vitamina A</w:t>
            </w:r>
          </w:p>
        </w:tc>
        <w:tc>
          <w:tcPr>
            <w:tcW w:w="0" w:type="auto"/>
            <w:tcMar>
              <w:top w:w="40" w:type="dxa"/>
              <w:left w:w="40" w:type="dxa"/>
              <w:bottom w:w="40" w:type="dxa"/>
              <w:right w:w="40" w:type="dxa"/>
            </w:tcMar>
            <w:vAlign w:val="center"/>
            <w:hideMark/>
          </w:tcPr>
          <w:p w14:paraId="1CA4A641" w14:textId="77777777" w:rsidR="00A029FC" w:rsidRDefault="00A029FC">
            <w:pPr>
              <w:pStyle w:val="NormalWeb"/>
              <w:spacing w:before="0" w:beforeAutospacing="0" w:after="0" w:afterAutospacing="0"/>
              <w:jc w:val="center"/>
            </w:pPr>
            <w:r>
              <w:rPr>
                <w:rFonts w:ascii="Arial" w:hAnsi="Arial" w:cs="Arial"/>
                <w:color w:val="000000"/>
                <w:sz w:val="20"/>
                <w:szCs w:val="20"/>
              </w:rPr>
              <w:t>1 (0,01%)</w:t>
            </w:r>
          </w:p>
        </w:tc>
        <w:tc>
          <w:tcPr>
            <w:tcW w:w="0" w:type="auto"/>
            <w:tcMar>
              <w:top w:w="40" w:type="dxa"/>
              <w:left w:w="40" w:type="dxa"/>
              <w:bottom w:w="40" w:type="dxa"/>
              <w:right w:w="40" w:type="dxa"/>
            </w:tcMar>
            <w:vAlign w:val="center"/>
            <w:hideMark/>
          </w:tcPr>
          <w:p w14:paraId="738ADAA9" w14:textId="77777777" w:rsidR="00A029FC" w:rsidRDefault="00A029FC">
            <w:pPr>
              <w:pStyle w:val="NormalWeb"/>
              <w:spacing w:before="0" w:beforeAutospacing="0" w:after="0" w:afterAutospacing="0"/>
              <w:jc w:val="center"/>
            </w:pPr>
            <w:r>
              <w:rPr>
                <w:rFonts w:ascii="Arial" w:hAnsi="Arial" w:cs="Arial"/>
                <w:color w:val="000000"/>
                <w:sz w:val="20"/>
                <w:szCs w:val="20"/>
              </w:rPr>
              <w:t>7 (0,01%)</w:t>
            </w:r>
          </w:p>
        </w:tc>
        <w:tc>
          <w:tcPr>
            <w:tcW w:w="0" w:type="auto"/>
            <w:tcMar>
              <w:top w:w="40" w:type="dxa"/>
              <w:left w:w="40" w:type="dxa"/>
              <w:bottom w:w="40" w:type="dxa"/>
              <w:right w:w="40" w:type="dxa"/>
            </w:tcMar>
            <w:vAlign w:val="center"/>
            <w:hideMark/>
          </w:tcPr>
          <w:p w14:paraId="30F37770" w14:textId="77777777" w:rsidR="00A029FC" w:rsidRDefault="00A029FC">
            <w:pPr>
              <w:pStyle w:val="NormalWeb"/>
              <w:spacing w:before="0" w:beforeAutospacing="0" w:after="0" w:afterAutospacing="0"/>
              <w:jc w:val="center"/>
            </w:pPr>
            <w:r>
              <w:rPr>
                <w:rFonts w:ascii="Arial" w:hAnsi="Arial" w:cs="Arial"/>
                <w:color w:val="000000"/>
                <w:sz w:val="20"/>
                <w:szCs w:val="20"/>
              </w:rPr>
              <w:t>4 (0,00%)</w:t>
            </w:r>
          </w:p>
        </w:tc>
        <w:tc>
          <w:tcPr>
            <w:tcW w:w="0" w:type="auto"/>
            <w:tcMar>
              <w:top w:w="40" w:type="dxa"/>
              <w:left w:w="40" w:type="dxa"/>
              <w:bottom w:w="40" w:type="dxa"/>
              <w:right w:w="40" w:type="dxa"/>
            </w:tcMar>
            <w:vAlign w:val="center"/>
            <w:hideMark/>
          </w:tcPr>
          <w:p w14:paraId="0739C8DA" w14:textId="77777777" w:rsidR="00A029FC" w:rsidRDefault="00A029FC">
            <w:pPr>
              <w:pStyle w:val="NormalWeb"/>
              <w:spacing w:before="0" w:beforeAutospacing="0" w:after="0" w:afterAutospacing="0"/>
              <w:jc w:val="center"/>
            </w:pPr>
            <w:r>
              <w:rPr>
                <w:rFonts w:ascii="Arial" w:hAnsi="Arial" w:cs="Arial"/>
                <w:color w:val="000000"/>
                <w:sz w:val="20"/>
                <w:szCs w:val="20"/>
              </w:rPr>
              <w:t>1 (0,00%)</w:t>
            </w:r>
          </w:p>
        </w:tc>
        <w:tc>
          <w:tcPr>
            <w:tcW w:w="0" w:type="auto"/>
            <w:tcMar>
              <w:top w:w="40" w:type="dxa"/>
              <w:left w:w="40" w:type="dxa"/>
              <w:bottom w:w="40" w:type="dxa"/>
              <w:right w:w="40" w:type="dxa"/>
            </w:tcMar>
            <w:vAlign w:val="center"/>
            <w:hideMark/>
          </w:tcPr>
          <w:p w14:paraId="4EDAF968" w14:textId="77777777" w:rsidR="00A029FC" w:rsidRDefault="00A029FC">
            <w:pPr>
              <w:pStyle w:val="NormalWeb"/>
              <w:spacing w:before="0" w:beforeAutospacing="0" w:after="0" w:afterAutospacing="0"/>
              <w:jc w:val="center"/>
            </w:pPr>
            <w:r>
              <w:rPr>
                <w:rFonts w:ascii="Arial" w:hAnsi="Arial" w:cs="Arial"/>
                <w:color w:val="000000"/>
                <w:sz w:val="20"/>
                <w:szCs w:val="20"/>
              </w:rPr>
              <w:t>-</w:t>
            </w:r>
          </w:p>
        </w:tc>
        <w:tc>
          <w:tcPr>
            <w:tcW w:w="0" w:type="auto"/>
            <w:tcMar>
              <w:top w:w="40" w:type="dxa"/>
              <w:left w:w="40" w:type="dxa"/>
              <w:bottom w:w="40" w:type="dxa"/>
              <w:right w:w="40" w:type="dxa"/>
            </w:tcMar>
            <w:vAlign w:val="center"/>
            <w:hideMark/>
          </w:tcPr>
          <w:p w14:paraId="419EFD0C" w14:textId="77777777" w:rsidR="00A029FC" w:rsidRDefault="00A029FC">
            <w:pPr>
              <w:pStyle w:val="NormalWeb"/>
              <w:spacing w:before="0" w:beforeAutospacing="0" w:after="0" w:afterAutospacing="0"/>
              <w:jc w:val="center"/>
            </w:pPr>
            <w:r>
              <w:rPr>
                <w:rFonts w:ascii="Arial" w:hAnsi="Arial" w:cs="Arial"/>
                <w:color w:val="000000"/>
                <w:sz w:val="20"/>
                <w:szCs w:val="20"/>
              </w:rPr>
              <w:t>13 (0,01%)</w:t>
            </w:r>
          </w:p>
        </w:tc>
      </w:tr>
      <w:tr w:rsidR="00A029FC" w14:paraId="6B6DC14B" w14:textId="77777777" w:rsidTr="00A029FC">
        <w:trPr>
          <w:trHeight w:val="315"/>
        </w:trPr>
        <w:tc>
          <w:tcPr>
            <w:tcW w:w="0" w:type="auto"/>
            <w:tcMar>
              <w:top w:w="40" w:type="dxa"/>
              <w:left w:w="40" w:type="dxa"/>
              <w:bottom w:w="40" w:type="dxa"/>
              <w:right w:w="40" w:type="dxa"/>
            </w:tcMar>
            <w:vAlign w:val="center"/>
            <w:hideMark/>
          </w:tcPr>
          <w:p w14:paraId="45AB4912" w14:textId="77777777" w:rsidR="00A029FC" w:rsidRDefault="00A029FC">
            <w:pPr>
              <w:pStyle w:val="NormalWeb"/>
              <w:spacing w:before="0" w:beforeAutospacing="0" w:after="0" w:afterAutospacing="0"/>
              <w:jc w:val="center"/>
            </w:pPr>
            <w:r>
              <w:rPr>
                <w:rFonts w:ascii="Arial" w:hAnsi="Arial" w:cs="Arial"/>
                <w:color w:val="000000"/>
                <w:sz w:val="20"/>
                <w:szCs w:val="20"/>
              </w:rPr>
              <w:t>Outras deficiências vitamínicas</w:t>
            </w:r>
          </w:p>
        </w:tc>
        <w:tc>
          <w:tcPr>
            <w:tcW w:w="0" w:type="auto"/>
            <w:tcMar>
              <w:top w:w="40" w:type="dxa"/>
              <w:left w:w="40" w:type="dxa"/>
              <w:bottom w:w="40" w:type="dxa"/>
              <w:right w:w="40" w:type="dxa"/>
            </w:tcMar>
            <w:vAlign w:val="center"/>
            <w:hideMark/>
          </w:tcPr>
          <w:p w14:paraId="571F0CCE" w14:textId="77777777" w:rsidR="00A029FC" w:rsidRDefault="00A029FC">
            <w:pPr>
              <w:pStyle w:val="NormalWeb"/>
              <w:spacing w:before="0" w:beforeAutospacing="0" w:after="0" w:afterAutospacing="0"/>
              <w:jc w:val="center"/>
            </w:pPr>
            <w:r>
              <w:rPr>
                <w:rFonts w:ascii="Arial" w:hAnsi="Arial" w:cs="Arial"/>
                <w:color w:val="000000"/>
                <w:sz w:val="20"/>
                <w:szCs w:val="20"/>
              </w:rPr>
              <w:t>2 (0,02%)</w:t>
            </w:r>
          </w:p>
        </w:tc>
        <w:tc>
          <w:tcPr>
            <w:tcW w:w="0" w:type="auto"/>
            <w:tcMar>
              <w:top w:w="40" w:type="dxa"/>
              <w:left w:w="40" w:type="dxa"/>
              <w:bottom w:w="40" w:type="dxa"/>
              <w:right w:w="40" w:type="dxa"/>
            </w:tcMar>
            <w:vAlign w:val="center"/>
            <w:hideMark/>
          </w:tcPr>
          <w:p w14:paraId="5D3B2FCC" w14:textId="77777777" w:rsidR="00A029FC" w:rsidRDefault="00A029FC">
            <w:pPr>
              <w:pStyle w:val="NormalWeb"/>
              <w:spacing w:before="0" w:beforeAutospacing="0" w:after="0" w:afterAutospacing="0"/>
              <w:jc w:val="center"/>
            </w:pPr>
            <w:r>
              <w:rPr>
                <w:rFonts w:ascii="Arial" w:hAnsi="Arial" w:cs="Arial"/>
                <w:color w:val="000000"/>
                <w:sz w:val="20"/>
                <w:szCs w:val="20"/>
              </w:rPr>
              <w:t>14 (0,02%)</w:t>
            </w:r>
          </w:p>
        </w:tc>
        <w:tc>
          <w:tcPr>
            <w:tcW w:w="0" w:type="auto"/>
            <w:tcMar>
              <w:top w:w="40" w:type="dxa"/>
              <w:left w:w="40" w:type="dxa"/>
              <w:bottom w:w="40" w:type="dxa"/>
              <w:right w:w="40" w:type="dxa"/>
            </w:tcMar>
            <w:vAlign w:val="center"/>
            <w:hideMark/>
          </w:tcPr>
          <w:p w14:paraId="42A593B4" w14:textId="77777777" w:rsidR="00A029FC" w:rsidRDefault="00A029FC">
            <w:pPr>
              <w:pStyle w:val="NormalWeb"/>
              <w:spacing w:before="0" w:beforeAutospacing="0" w:after="0" w:afterAutospacing="0"/>
              <w:jc w:val="center"/>
            </w:pPr>
            <w:r>
              <w:rPr>
                <w:rFonts w:ascii="Arial" w:hAnsi="Arial" w:cs="Arial"/>
                <w:color w:val="000000"/>
                <w:sz w:val="20"/>
                <w:szCs w:val="20"/>
              </w:rPr>
              <w:t>34 (0,03%)</w:t>
            </w:r>
          </w:p>
        </w:tc>
        <w:tc>
          <w:tcPr>
            <w:tcW w:w="0" w:type="auto"/>
            <w:tcMar>
              <w:top w:w="40" w:type="dxa"/>
              <w:left w:w="40" w:type="dxa"/>
              <w:bottom w:w="40" w:type="dxa"/>
              <w:right w:w="40" w:type="dxa"/>
            </w:tcMar>
            <w:vAlign w:val="center"/>
            <w:hideMark/>
          </w:tcPr>
          <w:p w14:paraId="65203E20" w14:textId="77777777" w:rsidR="00A029FC" w:rsidRDefault="00A029FC">
            <w:pPr>
              <w:pStyle w:val="NormalWeb"/>
              <w:spacing w:before="0" w:beforeAutospacing="0" w:after="0" w:afterAutospacing="0"/>
              <w:jc w:val="center"/>
            </w:pPr>
            <w:r>
              <w:rPr>
                <w:rFonts w:ascii="Arial" w:hAnsi="Arial" w:cs="Arial"/>
                <w:color w:val="000000"/>
                <w:sz w:val="20"/>
                <w:szCs w:val="20"/>
              </w:rPr>
              <w:t>4 (0,01%)</w:t>
            </w:r>
          </w:p>
        </w:tc>
        <w:tc>
          <w:tcPr>
            <w:tcW w:w="0" w:type="auto"/>
            <w:tcMar>
              <w:top w:w="40" w:type="dxa"/>
              <w:left w:w="40" w:type="dxa"/>
              <w:bottom w:w="40" w:type="dxa"/>
              <w:right w:w="40" w:type="dxa"/>
            </w:tcMar>
            <w:vAlign w:val="center"/>
            <w:hideMark/>
          </w:tcPr>
          <w:p w14:paraId="20FC3462" w14:textId="77777777" w:rsidR="00A029FC" w:rsidRDefault="00A029FC">
            <w:pPr>
              <w:pStyle w:val="NormalWeb"/>
              <w:spacing w:before="0" w:beforeAutospacing="0" w:after="0" w:afterAutospacing="0"/>
              <w:jc w:val="center"/>
            </w:pPr>
            <w:r>
              <w:rPr>
                <w:rFonts w:ascii="Arial" w:hAnsi="Arial" w:cs="Arial"/>
                <w:color w:val="000000"/>
                <w:sz w:val="20"/>
                <w:szCs w:val="20"/>
              </w:rPr>
              <w:t>3 (0,02%)</w:t>
            </w:r>
          </w:p>
        </w:tc>
        <w:tc>
          <w:tcPr>
            <w:tcW w:w="0" w:type="auto"/>
            <w:tcMar>
              <w:top w:w="40" w:type="dxa"/>
              <w:left w:w="40" w:type="dxa"/>
              <w:bottom w:w="40" w:type="dxa"/>
              <w:right w:w="40" w:type="dxa"/>
            </w:tcMar>
            <w:vAlign w:val="center"/>
            <w:hideMark/>
          </w:tcPr>
          <w:p w14:paraId="06725684" w14:textId="77777777" w:rsidR="00A029FC" w:rsidRDefault="00A029FC">
            <w:pPr>
              <w:pStyle w:val="NormalWeb"/>
              <w:spacing w:before="0" w:beforeAutospacing="0" w:after="0" w:afterAutospacing="0"/>
              <w:jc w:val="center"/>
            </w:pPr>
            <w:r>
              <w:rPr>
                <w:rFonts w:ascii="Arial" w:hAnsi="Arial" w:cs="Arial"/>
                <w:color w:val="000000"/>
                <w:sz w:val="20"/>
                <w:szCs w:val="20"/>
              </w:rPr>
              <w:t>57 (0,02%)</w:t>
            </w:r>
          </w:p>
        </w:tc>
      </w:tr>
      <w:tr w:rsidR="00A029FC" w14:paraId="58C4C733" w14:textId="77777777" w:rsidTr="00A029FC">
        <w:trPr>
          <w:trHeight w:val="315"/>
        </w:trPr>
        <w:tc>
          <w:tcPr>
            <w:tcW w:w="0" w:type="auto"/>
            <w:tcMar>
              <w:top w:w="40" w:type="dxa"/>
              <w:left w:w="40" w:type="dxa"/>
              <w:bottom w:w="40" w:type="dxa"/>
              <w:right w:w="40" w:type="dxa"/>
            </w:tcMar>
            <w:vAlign w:val="center"/>
            <w:hideMark/>
          </w:tcPr>
          <w:p w14:paraId="6C9D550D" w14:textId="77777777" w:rsidR="00A029FC" w:rsidRDefault="00A029FC">
            <w:pPr>
              <w:pStyle w:val="NormalWeb"/>
              <w:spacing w:before="0" w:beforeAutospacing="0" w:after="0" w:afterAutospacing="0"/>
              <w:jc w:val="center"/>
            </w:pPr>
            <w:r>
              <w:rPr>
                <w:rFonts w:ascii="Arial" w:hAnsi="Arial" w:cs="Arial"/>
                <w:color w:val="000000"/>
                <w:sz w:val="20"/>
                <w:szCs w:val="20"/>
              </w:rPr>
              <w:t>Sequelas de desnutrição e de outras defic nutr</w:t>
            </w:r>
          </w:p>
        </w:tc>
        <w:tc>
          <w:tcPr>
            <w:tcW w:w="0" w:type="auto"/>
            <w:tcMar>
              <w:top w:w="40" w:type="dxa"/>
              <w:left w:w="40" w:type="dxa"/>
              <w:bottom w:w="40" w:type="dxa"/>
              <w:right w:w="40" w:type="dxa"/>
            </w:tcMar>
            <w:vAlign w:val="center"/>
            <w:hideMark/>
          </w:tcPr>
          <w:p w14:paraId="6AD4C8D5" w14:textId="77777777" w:rsidR="00A029FC" w:rsidRDefault="00A029FC">
            <w:pPr>
              <w:pStyle w:val="NormalWeb"/>
              <w:spacing w:before="0" w:beforeAutospacing="0" w:after="0" w:afterAutospacing="0"/>
              <w:jc w:val="center"/>
            </w:pPr>
            <w:r>
              <w:rPr>
                <w:rFonts w:ascii="Arial" w:hAnsi="Arial" w:cs="Arial"/>
                <w:color w:val="000000"/>
                <w:sz w:val="20"/>
                <w:szCs w:val="20"/>
              </w:rPr>
              <w:t>1 (0,01%)</w:t>
            </w:r>
          </w:p>
        </w:tc>
        <w:tc>
          <w:tcPr>
            <w:tcW w:w="0" w:type="auto"/>
            <w:tcMar>
              <w:top w:w="40" w:type="dxa"/>
              <w:left w:w="40" w:type="dxa"/>
              <w:bottom w:w="40" w:type="dxa"/>
              <w:right w:w="40" w:type="dxa"/>
            </w:tcMar>
            <w:vAlign w:val="center"/>
            <w:hideMark/>
          </w:tcPr>
          <w:p w14:paraId="00298FFD" w14:textId="77777777" w:rsidR="00A029FC" w:rsidRDefault="00A029FC">
            <w:pPr>
              <w:pStyle w:val="NormalWeb"/>
              <w:spacing w:before="0" w:beforeAutospacing="0" w:after="0" w:afterAutospacing="0"/>
              <w:jc w:val="center"/>
            </w:pPr>
            <w:r>
              <w:rPr>
                <w:rFonts w:ascii="Arial" w:hAnsi="Arial" w:cs="Arial"/>
                <w:color w:val="000000"/>
                <w:sz w:val="20"/>
                <w:szCs w:val="20"/>
              </w:rPr>
              <w:t>8 (0,01%)</w:t>
            </w:r>
          </w:p>
        </w:tc>
        <w:tc>
          <w:tcPr>
            <w:tcW w:w="0" w:type="auto"/>
            <w:tcMar>
              <w:top w:w="40" w:type="dxa"/>
              <w:left w:w="40" w:type="dxa"/>
              <w:bottom w:w="40" w:type="dxa"/>
              <w:right w:w="40" w:type="dxa"/>
            </w:tcMar>
            <w:vAlign w:val="center"/>
            <w:hideMark/>
          </w:tcPr>
          <w:p w14:paraId="55859315" w14:textId="77777777" w:rsidR="00A029FC" w:rsidRDefault="00A029FC">
            <w:pPr>
              <w:pStyle w:val="NormalWeb"/>
              <w:spacing w:before="0" w:beforeAutospacing="0" w:after="0" w:afterAutospacing="0"/>
              <w:jc w:val="center"/>
            </w:pPr>
            <w:r>
              <w:rPr>
                <w:rFonts w:ascii="Arial" w:hAnsi="Arial" w:cs="Arial"/>
                <w:color w:val="000000"/>
                <w:sz w:val="20"/>
                <w:szCs w:val="20"/>
              </w:rPr>
              <w:t>13 (0,01%)</w:t>
            </w:r>
          </w:p>
        </w:tc>
        <w:tc>
          <w:tcPr>
            <w:tcW w:w="0" w:type="auto"/>
            <w:tcMar>
              <w:top w:w="40" w:type="dxa"/>
              <w:left w:w="40" w:type="dxa"/>
              <w:bottom w:w="40" w:type="dxa"/>
              <w:right w:w="40" w:type="dxa"/>
            </w:tcMar>
            <w:vAlign w:val="center"/>
            <w:hideMark/>
          </w:tcPr>
          <w:p w14:paraId="006872FD" w14:textId="77777777" w:rsidR="00A029FC" w:rsidRDefault="00A029FC">
            <w:pPr>
              <w:pStyle w:val="NormalWeb"/>
              <w:spacing w:before="0" w:beforeAutospacing="0" w:after="0" w:afterAutospacing="0"/>
              <w:jc w:val="center"/>
            </w:pPr>
            <w:r>
              <w:rPr>
                <w:rFonts w:ascii="Arial" w:hAnsi="Arial" w:cs="Arial"/>
                <w:color w:val="000000"/>
                <w:sz w:val="20"/>
                <w:szCs w:val="20"/>
              </w:rPr>
              <w:t>2 (0,01%)</w:t>
            </w:r>
          </w:p>
        </w:tc>
        <w:tc>
          <w:tcPr>
            <w:tcW w:w="0" w:type="auto"/>
            <w:tcMar>
              <w:top w:w="40" w:type="dxa"/>
              <w:left w:w="40" w:type="dxa"/>
              <w:bottom w:w="40" w:type="dxa"/>
              <w:right w:w="40" w:type="dxa"/>
            </w:tcMar>
            <w:vAlign w:val="center"/>
            <w:hideMark/>
          </w:tcPr>
          <w:p w14:paraId="420FF40E" w14:textId="77777777" w:rsidR="00A029FC" w:rsidRDefault="00A029FC">
            <w:pPr>
              <w:pStyle w:val="NormalWeb"/>
              <w:spacing w:before="0" w:beforeAutospacing="0" w:after="0" w:afterAutospacing="0"/>
              <w:jc w:val="center"/>
            </w:pPr>
            <w:r>
              <w:rPr>
                <w:rFonts w:ascii="Arial" w:hAnsi="Arial" w:cs="Arial"/>
                <w:color w:val="000000"/>
                <w:sz w:val="20"/>
                <w:szCs w:val="20"/>
              </w:rPr>
              <w:t>-</w:t>
            </w:r>
          </w:p>
        </w:tc>
        <w:tc>
          <w:tcPr>
            <w:tcW w:w="0" w:type="auto"/>
            <w:tcMar>
              <w:top w:w="40" w:type="dxa"/>
              <w:left w:w="40" w:type="dxa"/>
              <w:bottom w:w="40" w:type="dxa"/>
              <w:right w:w="40" w:type="dxa"/>
            </w:tcMar>
            <w:vAlign w:val="center"/>
            <w:hideMark/>
          </w:tcPr>
          <w:p w14:paraId="79129400" w14:textId="77777777" w:rsidR="00A029FC" w:rsidRDefault="00A029FC">
            <w:pPr>
              <w:pStyle w:val="NormalWeb"/>
              <w:spacing w:before="0" w:beforeAutospacing="0" w:after="0" w:afterAutospacing="0"/>
              <w:jc w:val="center"/>
            </w:pPr>
            <w:r>
              <w:rPr>
                <w:rFonts w:ascii="Arial" w:hAnsi="Arial" w:cs="Arial"/>
                <w:color w:val="000000"/>
                <w:sz w:val="20"/>
                <w:szCs w:val="20"/>
              </w:rPr>
              <w:t>24 (0,01%)</w:t>
            </w:r>
          </w:p>
        </w:tc>
      </w:tr>
      <w:tr w:rsidR="00A029FC" w14:paraId="69A15533" w14:textId="77777777" w:rsidTr="00A029FC">
        <w:trPr>
          <w:trHeight w:val="315"/>
        </w:trPr>
        <w:tc>
          <w:tcPr>
            <w:tcW w:w="0" w:type="auto"/>
            <w:tcMar>
              <w:top w:w="40" w:type="dxa"/>
              <w:left w:w="40" w:type="dxa"/>
              <w:bottom w:w="40" w:type="dxa"/>
              <w:right w:w="40" w:type="dxa"/>
            </w:tcMar>
            <w:vAlign w:val="center"/>
            <w:hideMark/>
          </w:tcPr>
          <w:p w14:paraId="101ACB78" w14:textId="77777777" w:rsidR="00A029FC" w:rsidRDefault="00A029FC">
            <w:pPr>
              <w:pStyle w:val="NormalWeb"/>
              <w:spacing w:before="0" w:beforeAutospacing="0" w:after="0" w:afterAutospacing="0"/>
              <w:jc w:val="center"/>
            </w:pPr>
            <w:r>
              <w:rPr>
                <w:rFonts w:ascii="Arial" w:hAnsi="Arial" w:cs="Arial"/>
                <w:color w:val="000000"/>
                <w:sz w:val="20"/>
                <w:szCs w:val="20"/>
              </w:rPr>
              <w:t>Obesidade</w:t>
            </w:r>
          </w:p>
        </w:tc>
        <w:tc>
          <w:tcPr>
            <w:tcW w:w="0" w:type="auto"/>
            <w:tcMar>
              <w:top w:w="40" w:type="dxa"/>
              <w:left w:w="40" w:type="dxa"/>
              <w:bottom w:w="40" w:type="dxa"/>
              <w:right w:w="40" w:type="dxa"/>
            </w:tcMar>
            <w:vAlign w:val="center"/>
            <w:hideMark/>
          </w:tcPr>
          <w:p w14:paraId="6EFC6932" w14:textId="77777777" w:rsidR="00A029FC" w:rsidRDefault="00A029FC">
            <w:pPr>
              <w:pStyle w:val="NormalWeb"/>
              <w:spacing w:before="0" w:beforeAutospacing="0" w:after="0" w:afterAutospacing="0"/>
              <w:jc w:val="center"/>
            </w:pPr>
            <w:r>
              <w:rPr>
                <w:rFonts w:ascii="Arial" w:hAnsi="Arial" w:cs="Arial"/>
                <w:color w:val="000000"/>
                <w:sz w:val="20"/>
                <w:szCs w:val="20"/>
              </w:rPr>
              <w:t>6 (0,05%)</w:t>
            </w:r>
          </w:p>
        </w:tc>
        <w:tc>
          <w:tcPr>
            <w:tcW w:w="0" w:type="auto"/>
            <w:tcMar>
              <w:top w:w="40" w:type="dxa"/>
              <w:left w:w="40" w:type="dxa"/>
              <w:bottom w:w="40" w:type="dxa"/>
              <w:right w:w="40" w:type="dxa"/>
            </w:tcMar>
            <w:vAlign w:val="center"/>
            <w:hideMark/>
          </w:tcPr>
          <w:p w14:paraId="645CA29D" w14:textId="77777777" w:rsidR="00A029FC" w:rsidRDefault="00A029FC">
            <w:pPr>
              <w:pStyle w:val="NormalWeb"/>
              <w:spacing w:before="0" w:beforeAutospacing="0" w:after="0" w:afterAutospacing="0"/>
              <w:jc w:val="center"/>
            </w:pPr>
            <w:r>
              <w:rPr>
                <w:rFonts w:ascii="Arial" w:hAnsi="Arial" w:cs="Arial"/>
                <w:color w:val="000000"/>
                <w:sz w:val="20"/>
                <w:szCs w:val="20"/>
              </w:rPr>
              <w:t>19 (0,03%)</w:t>
            </w:r>
          </w:p>
        </w:tc>
        <w:tc>
          <w:tcPr>
            <w:tcW w:w="0" w:type="auto"/>
            <w:tcMar>
              <w:top w:w="40" w:type="dxa"/>
              <w:left w:w="40" w:type="dxa"/>
              <w:bottom w:w="40" w:type="dxa"/>
              <w:right w:w="40" w:type="dxa"/>
            </w:tcMar>
            <w:vAlign w:val="center"/>
            <w:hideMark/>
          </w:tcPr>
          <w:p w14:paraId="50D76030" w14:textId="77777777" w:rsidR="00A029FC" w:rsidRDefault="00A029FC">
            <w:pPr>
              <w:pStyle w:val="NormalWeb"/>
              <w:spacing w:before="0" w:beforeAutospacing="0" w:after="0" w:afterAutospacing="0"/>
              <w:jc w:val="center"/>
            </w:pPr>
            <w:r>
              <w:rPr>
                <w:rFonts w:ascii="Arial" w:hAnsi="Arial" w:cs="Arial"/>
                <w:color w:val="000000"/>
                <w:sz w:val="20"/>
                <w:szCs w:val="20"/>
              </w:rPr>
              <w:t>154 (0,14%)</w:t>
            </w:r>
          </w:p>
        </w:tc>
        <w:tc>
          <w:tcPr>
            <w:tcW w:w="0" w:type="auto"/>
            <w:tcMar>
              <w:top w:w="40" w:type="dxa"/>
              <w:left w:w="40" w:type="dxa"/>
              <w:bottom w:w="40" w:type="dxa"/>
              <w:right w:w="40" w:type="dxa"/>
            </w:tcMar>
            <w:vAlign w:val="center"/>
            <w:hideMark/>
          </w:tcPr>
          <w:p w14:paraId="7191F4A4" w14:textId="77777777" w:rsidR="00A029FC" w:rsidRDefault="00A029FC">
            <w:pPr>
              <w:pStyle w:val="NormalWeb"/>
              <w:spacing w:before="0" w:beforeAutospacing="0" w:after="0" w:afterAutospacing="0"/>
              <w:jc w:val="center"/>
            </w:pPr>
            <w:r>
              <w:rPr>
                <w:rFonts w:ascii="Arial" w:hAnsi="Arial" w:cs="Arial"/>
                <w:color w:val="000000"/>
                <w:sz w:val="20"/>
                <w:szCs w:val="20"/>
              </w:rPr>
              <w:t>131 (0,42%)</w:t>
            </w:r>
          </w:p>
        </w:tc>
        <w:tc>
          <w:tcPr>
            <w:tcW w:w="0" w:type="auto"/>
            <w:tcMar>
              <w:top w:w="40" w:type="dxa"/>
              <w:left w:w="40" w:type="dxa"/>
              <w:bottom w:w="40" w:type="dxa"/>
              <w:right w:w="40" w:type="dxa"/>
            </w:tcMar>
            <w:vAlign w:val="center"/>
            <w:hideMark/>
          </w:tcPr>
          <w:p w14:paraId="0763244E" w14:textId="77777777" w:rsidR="00A029FC" w:rsidRDefault="00A029FC">
            <w:pPr>
              <w:pStyle w:val="NormalWeb"/>
              <w:spacing w:before="0" w:beforeAutospacing="0" w:after="0" w:afterAutospacing="0"/>
              <w:jc w:val="center"/>
            </w:pPr>
            <w:r>
              <w:rPr>
                <w:rFonts w:ascii="Arial" w:hAnsi="Arial" w:cs="Arial"/>
                <w:color w:val="000000"/>
                <w:sz w:val="20"/>
                <w:szCs w:val="20"/>
              </w:rPr>
              <w:t>21 (0,17%)</w:t>
            </w:r>
          </w:p>
        </w:tc>
        <w:tc>
          <w:tcPr>
            <w:tcW w:w="0" w:type="auto"/>
            <w:tcMar>
              <w:top w:w="40" w:type="dxa"/>
              <w:left w:w="40" w:type="dxa"/>
              <w:bottom w:w="40" w:type="dxa"/>
              <w:right w:w="40" w:type="dxa"/>
            </w:tcMar>
            <w:vAlign w:val="center"/>
            <w:hideMark/>
          </w:tcPr>
          <w:p w14:paraId="01746708" w14:textId="77777777" w:rsidR="00A029FC" w:rsidRDefault="00A029FC">
            <w:pPr>
              <w:pStyle w:val="NormalWeb"/>
              <w:spacing w:before="0" w:beforeAutospacing="0" w:after="0" w:afterAutospacing="0"/>
              <w:jc w:val="center"/>
            </w:pPr>
            <w:r>
              <w:rPr>
                <w:rFonts w:ascii="Arial" w:hAnsi="Arial" w:cs="Arial"/>
                <w:color w:val="000000"/>
                <w:sz w:val="20"/>
                <w:szCs w:val="20"/>
              </w:rPr>
              <w:t>331 (0,14%)</w:t>
            </w:r>
          </w:p>
        </w:tc>
      </w:tr>
      <w:tr w:rsidR="00A029FC" w14:paraId="5B2B5CA7" w14:textId="77777777" w:rsidTr="00A029FC">
        <w:trPr>
          <w:trHeight w:val="510"/>
        </w:trPr>
        <w:tc>
          <w:tcPr>
            <w:tcW w:w="0" w:type="auto"/>
            <w:tcMar>
              <w:top w:w="40" w:type="dxa"/>
              <w:left w:w="40" w:type="dxa"/>
              <w:bottom w:w="40" w:type="dxa"/>
              <w:right w:w="40" w:type="dxa"/>
            </w:tcMar>
            <w:vAlign w:val="center"/>
            <w:hideMark/>
          </w:tcPr>
          <w:p w14:paraId="6D4E87AD" w14:textId="77777777" w:rsidR="00A029FC" w:rsidRDefault="00A029FC">
            <w:pPr>
              <w:pStyle w:val="NormalWeb"/>
              <w:spacing w:before="0" w:beforeAutospacing="0" w:after="0" w:afterAutospacing="0"/>
              <w:jc w:val="center"/>
            </w:pPr>
            <w:r>
              <w:rPr>
                <w:rFonts w:ascii="Arial" w:hAnsi="Arial" w:cs="Arial"/>
                <w:color w:val="000000"/>
                <w:sz w:val="20"/>
                <w:szCs w:val="20"/>
              </w:rPr>
              <w:t>Depleção de volume</w:t>
            </w:r>
          </w:p>
        </w:tc>
        <w:tc>
          <w:tcPr>
            <w:tcW w:w="0" w:type="auto"/>
            <w:tcMar>
              <w:top w:w="40" w:type="dxa"/>
              <w:left w:w="40" w:type="dxa"/>
              <w:bottom w:w="40" w:type="dxa"/>
              <w:right w:w="40" w:type="dxa"/>
            </w:tcMar>
            <w:vAlign w:val="center"/>
            <w:hideMark/>
          </w:tcPr>
          <w:p w14:paraId="78B7F0B4" w14:textId="77777777" w:rsidR="00A029FC" w:rsidRDefault="00A029FC">
            <w:pPr>
              <w:pStyle w:val="NormalWeb"/>
              <w:spacing w:before="0" w:beforeAutospacing="0" w:after="0" w:afterAutospacing="0"/>
              <w:jc w:val="center"/>
            </w:pPr>
            <w:r>
              <w:rPr>
                <w:rFonts w:ascii="Arial" w:hAnsi="Arial" w:cs="Arial"/>
                <w:color w:val="000000"/>
                <w:sz w:val="20"/>
                <w:szCs w:val="20"/>
              </w:rPr>
              <w:t>454 (3,59%)</w:t>
            </w:r>
          </w:p>
        </w:tc>
        <w:tc>
          <w:tcPr>
            <w:tcW w:w="0" w:type="auto"/>
            <w:tcMar>
              <w:top w:w="40" w:type="dxa"/>
              <w:left w:w="40" w:type="dxa"/>
              <w:bottom w:w="40" w:type="dxa"/>
              <w:right w:w="40" w:type="dxa"/>
            </w:tcMar>
            <w:vAlign w:val="center"/>
            <w:hideMark/>
          </w:tcPr>
          <w:p w14:paraId="439A2925" w14:textId="77777777" w:rsidR="00A029FC" w:rsidRDefault="00A029FC">
            <w:pPr>
              <w:pStyle w:val="NormalWeb"/>
              <w:spacing w:before="0" w:beforeAutospacing="0" w:after="0" w:afterAutospacing="0"/>
              <w:jc w:val="center"/>
            </w:pPr>
            <w:r>
              <w:rPr>
                <w:rFonts w:ascii="Arial" w:hAnsi="Arial" w:cs="Arial"/>
                <w:color w:val="000000"/>
                <w:sz w:val="20"/>
                <w:szCs w:val="20"/>
              </w:rPr>
              <w:t>4351 (6,59%)</w:t>
            </w:r>
          </w:p>
        </w:tc>
        <w:tc>
          <w:tcPr>
            <w:tcW w:w="0" w:type="auto"/>
            <w:tcMar>
              <w:top w:w="40" w:type="dxa"/>
              <w:left w:w="40" w:type="dxa"/>
              <w:bottom w:w="40" w:type="dxa"/>
              <w:right w:w="40" w:type="dxa"/>
            </w:tcMar>
            <w:vAlign w:val="center"/>
            <w:hideMark/>
          </w:tcPr>
          <w:p w14:paraId="0C293EBF" w14:textId="77777777" w:rsidR="00A029FC" w:rsidRDefault="00A029FC">
            <w:pPr>
              <w:pStyle w:val="NormalWeb"/>
              <w:spacing w:before="0" w:beforeAutospacing="0" w:after="0" w:afterAutospacing="0"/>
              <w:jc w:val="center"/>
            </w:pPr>
            <w:r>
              <w:rPr>
                <w:rFonts w:ascii="Arial" w:hAnsi="Arial" w:cs="Arial"/>
                <w:color w:val="000000"/>
                <w:sz w:val="20"/>
                <w:szCs w:val="20"/>
              </w:rPr>
              <w:t>14423 (12,95%)</w:t>
            </w:r>
          </w:p>
        </w:tc>
        <w:tc>
          <w:tcPr>
            <w:tcW w:w="0" w:type="auto"/>
            <w:tcMar>
              <w:top w:w="40" w:type="dxa"/>
              <w:left w:w="40" w:type="dxa"/>
              <w:bottom w:w="40" w:type="dxa"/>
              <w:right w:w="40" w:type="dxa"/>
            </w:tcMar>
            <w:vAlign w:val="center"/>
            <w:hideMark/>
          </w:tcPr>
          <w:p w14:paraId="2558D1BF" w14:textId="77777777" w:rsidR="00A029FC" w:rsidRDefault="00A029FC">
            <w:pPr>
              <w:pStyle w:val="NormalWeb"/>
              <w:spacing w:before="0" w:beforeAutospacing="0" w:after="0" w:afterAutospacing="0"/>
              <w:jc w:val="center"/>
            </w:pPr>
            <w:r>
              <w:rPr>
                <w:rFonts w:ascii="Arial" w:hAnsi="Arial" w:cs="Arial"/>
                <w:color w:val="000000"/>
                <w:sz w:val="20"/>
                <w:szCs w:val="20"/>
              </w:rPr>
              <w:t>1569 (5,01%)</w:t>
            </w:r>
          </w:p>
        </w:tc>
        <w:tc>
          <w:tcPr>
            <w:tcW w:w="0" w:type="auto"/>
            <w:tcMar>
              <w:top w:w="40" w:type="dxa"/>
              <w:left w:w="40" w:type="dxa"/>
              <w:bottom w:w="40" w:type="dxa"/>
              <w:right w:w="40" w:type="dxa"/>
            </w:tcMar>
            <w:vAlign w:val="center"/>
            <w:hideMark/>
          </w:tcPr>
          <w:p w14:paraId="5B73543E" w14:textId="77777777" w:rsidR="00A029FC" w:rsidRDefault="00A029FC">
            <w:pPr>
              <w:pStyle w:val="NormalWeb"/>
              <w:spacing w:before="0" w:beforeAutospacing="0" w:after="0" w:afterAutospacing="0"/>
              <w:jc w:val="center"/>
            </w:pPr>
            <w:r>
              <w:rPr>
                <w:rFonts w:ascii="Arial" w:hAnsi="Arial" w:cs="Arial"/>
                <w:color w:val="000000"/>
                <w:sz w:val="20"/>
                <w:szCs w:val="20"/>
              </w:rPr>
              <w:t>1371 (11,20%)</w:t>
            </w:r>
          </w:p>
        </w:tc>
        <w:tc>
          <w:tcPr>
            <w:tcW w:w="0" w:type="auto"/>
            <w:tcMar>
              <w:top w:w="40" w:type="dxa"/>
              <w:left w:w="40" w:type="dxa"/>
              <w:bottom w:w="40" w:type="dxa"/>
              <w:right w:w="40" w:type="dxa"/>
            </w:tcMar>
            <w:vAlign w:val="center"/>
            <w:hideMark/>
          </w:tcPr>
          <w:p w14:paraId="7273AFC7" w14:textId="77777777" w:rsidR="00A029FC" w:rsidRDefault="00A029FC">
            <w:pPr>
              <w:pStyle w:val="NormalWeb"/>
              <w:spacing w:before="0" w:beforeAutospacing="0" w:after="0" w:afterAutospacing="0"/>
              <w:jc w:val="center"/>
            </w:pPr>
            <w:r>
              <w:rPr>
                <w:rFonts w:ascii="Arial" w:hAnsi="Arial" w:cs="Arial"/>
                <w:color w:val="000000"/>
                <w:sz w:val="20"/>
                <w:szCs w:val="20"/>
              </w:rPr>
              <w:t>22168 (9,49%)</w:t>
            </w:r>
          </w:p>
        </w:tc>
      </w:tr>
      <w:tr w:rsidR="00A029FC" w14:paraId="1C5D8214" w14:textId="77777777" w:rsidTr="00A029FC">
        <w:trPr>
          <w:trHeight w:val="525"/>
        </w:trPr>
        <w:tc>
          <w:tcPr>
            <w:tcW w:w="0" w:type="auto"/>
            <w:tcBorders>
              <w:bottom w:val="single" w:sz="6" w:space="0" w:color="000000"/>
            </w:tcBorders>
            <w:tcMar>
              <w:top w:w="40" w:type="dxa"/>
              <w:left w:w="40" w:type="dxa"/>
              <w:bottom w:w="40" w:type="dxa"/>
              <w:right w:w="40" w:type="dxa"/>
            </w:tcMar>
            <w:vAlign w:val="center"/>
            <w:hideMark/>
          </w:tcPr>
          <w:p w14:paraId="298E5A25" w14:textId="77777777" w:rsidR="00A029FC" w:rsidRDefault="00A029FC">
            <w:pPr>
              <w:pStyle w:val="NormalWeb"/>
              <w:spacing w:before="0" w:beforeAutospacing="0" w:after="0" w:afterAutospacing="0"/>
              <w:jc w:val="center"/>
            </w:pPr>
            <w:r>
              <w:rPr>
                <w:rFonts w:ascii="Arial" w:hAnsi="Arial" w:cs="Arial"/>
                <w:color w:val="000000"/>
                <w:sz w:val="20"/>
                <w:szCs w:val="20"/>
              </w:rPr>
              <w:t>Outros transt endócrinos nutricionais metabólicos</w:t>
            </w:r>
          </w:p>
        </w:tc>
        <w:tc>
          <w:tcPr>
            <w:tcW w:w="0" w:type="auto"/>
            <w:tcBorders>
              <w:bottom w:val="single" w:sz="6" w:space="0" w:color="000000"/>
            </w:tcBorders>
            <w:tcMar>
              <w:top w:w="40" w:type="dxa"/>
              <w:left w:w="40" w:type="dxa"/>
              <w:bottom w:w="40" w:type="dxa"/>
              <w:right w:w="40" w:type="dxa"/>
            </w:tcMar>
            <w:vAlign w:val="center"/>
            <w:hideMark/>
          </w:tcPr>
          <w:p w14:paraId="5525115C" w14:textId="77777777" w:rsidR="00A029FC" w:rsidRDefault="00A029FC">
            <w:pPr>
              <w:pStyle w:val="NormalWeb"/>
              <w:spacing w:before="0" w:beforeAutospacing="0" w:after="0" w:afterAutospacing="0"/>
              <w:jc w:val="center"/>
            </w:pPr>
            <w:r>
              <w:rPr>
                <w:rFonts w:ascii="Arial" w:hAnsi="Arial" w:cs="Arial"/>
                <w:color w:val="000000"/>
                <w:sz w:val="20"/>
                <w:szCs w:val="20"/>
              </w:rPr>
              <w:t>1223 (9,67%)</w:t>
            </w:r>
          </w:p>
        </w:tc>
        <w:tc>
          <w:tcPr>
            <w:tcW w:w="0" w:type="auto"/>
            <w:tcBorders>
              <w:bottom w:val="single" w:sz="6" w:space="0" w:color="000000"/>
            </w:tcBorders>
            <w:tcMar>
              <w:top w:w="40" w:type="dxa"/>
              <w:left w:w="40" w:type="dxa"/>
              <w:bottom w:w="40" w:type="dxa"/>
              <w:right w:w="40" w:type="dxa"/>
            </w:tcMar>
            <w:vAlign w:val="center"/>
            <w:hideMark/>
          </w:tcPr>
          <w:p w14:paraId="0A17E10C" w14:textId="77777777" w:rsidR="00A029FC" w:rsidRDefault="00A029FC">
            <w:pPr>
              <w:pStyle w:val="NormalWeb"/>
              <w:spacing w:before="0" w:beforeAutospacing="0" w:after="0" w:afterAutospacing="0"/>
              <w:jc w:val="center"/>
            </w:pPr>
            <w:r>
              <w:rPr>
                <w:rFonts w:ascii="Arial" w:hAnsi="Arial" w:cs="Arial"/>
                <w:color w:val="000000"/>
                <w:sz w:val="20"/>
                <w:szCs w:val="20"/>
              </w:rPr>
              <w:t>6850 (10,37%)</w:t>
            </w:r>
          </w:p>
        </w:tc>
        <w:tc>
          <w:tcPr>
            <w:tcW w:w="0" w:type="auto"/>
            <w:tcBorders>
              <w:bottom w:val="single" w:sz="6" w:space="0" w:color="000000"/>
            </w:tcBorders>
            <w:tcMar>
              <w:top w:w="40" w:type="dxa"/>
              <w:left w:w="40" w:type="dxa"/>
              <w:bottom w:w="40" w:type="dxa"/>
              <w:right w:w="40" w:type="dxa"/>
            </w:tcMar>
            <w:vAlign w:val="center"/>
            <w:hideMark/>
          </w:tcPr>
          <w:p w14:paraId="51214F0B" w14:textId="77777777" w:rsidR="00A029FC" w:rsidRDefault="00A029FC">
            <w:pPr>
              <w:pStyle w:val="NormalWeb"/>
              <w:spacing w:before="0" w:beforeAutospacing="0" w:after="0" w:afterAutospacing="0"/>
              <w:jc w:val="center"/>
            </w:pPr>
            <w:r>
              <w:rPr>
                <w:rFonts w:ascii="Arial" w:hAnsi="Arial" w:cs="Arial"/>
                <w:color w:val="000000"/>
                <w:sz w:val="20"/>
                <w:szCs w:val="20"/>
              </w:rPr>
              <w:t>16466 (14,78%)</w:t>
            </w:r>
          </w:p>
        </w:tc>
        <w:tc>
          <w:tcPr>
            <w:tcW w:w="0" w:type="auto"/>
            <w:tcBorders>
              <w:bottom w:val="single" w:sz="6" w:space="0" w:color="000000"/>
            </w:tcBorders>
            <w:tcMar>
              <w:top w:w="40" w:type="dxa"/>
              <w:left w:w="40" w:type="dxa"/>
              <w:bottom w:w="40" w:type="dxa"/>
              <w:right w:w="40" w:type="dxa"/>
            </w:tcMar>
            <w:vAlign w:val="center"/>
            <w:hideMark/>
          </w:tcPr>
          <w:p w14:paraId="05E22FFE" w14:textId="77777777" w:rsidR="00A029FC" w:rsidRDefault="00A029FC">
            <w:pPr>
              <w:pStyle w:val="NormalWeb"/>
              <w:spacing w:before="0" w:beforeAutospacing="0" w:after="0" w:afterAutospacing="0"/>
              <w:jc w:val="center"/>
            </w:pPr>
            <w:r>
              <w:rPr>
                <w:rFonts w:ascii="Arial" w:hAnsi="Arial" w:cs="Arial"/>
                <w:color w:val="000000"/>
                <w:sz w:val="20"/>
                <w:szCs w:val="20"/>
              </w:rPr>
              <w:t>3894 (12,43%)</w:t>
            </w:r>
          </w:p>
        </w:tc>
        <w:tc>
          <w:tcPr>
            <w:tcW w:w="0" w:type="auto"/>
            <w:tcBorders>
              <w:bottom w:val="single" w:sz="6" w:space="0" w:color="000000"/>
            </w:tcBorders>
            <w:tcMar>
              <w:top w:w="40" w:type="dxa"/>
              <w:left w:w="40" w:type="dxa"/>
              <w:bottom w:w="40" w:type="dxa"/>
              <w:right w:w="40" w:type="dxa"/>
            </w:tcMar>
            <w:vAlign w:val="center"/>
            <w:hideMark/>
          </w:tcPr>
          <w:p w14:paraId="5157D254" w14:textId="77777777" w:rsidR="00A029FC" w:rsidRDefault="00A029FC">
            <w:pPr>
              <w:pStyle w:val="NormalWeb"/>
              <w:spacing w:before="0" w:beforeAutospacing="0" w:after="0" w:afterAutospacing="0"/>
              <w:jc w:val="center"/>
            </w:pPr>
            <w:r>
              <w:rPr>
                <w:rFonts w:ascii="Arial" w:hAnsi="Arial" w:cs="Arial"/>
                <w:color w:val="000000"/>
                <w:sz w:val="20"/>
                <w:szCs w:val="20"/>
              </w:rPr>
              <w:t>2025 (16,54%)</w:t>
            </w:r>
          </w:p>
        </w:tc>
        <w:tc>
          <w:tcPr>
            <w:tcW w:w="0" w:type="auto"/>
            <w:tcBorders>
              <w:bottom w:val="single" w:sz="6" w:space="0" w:color="000000"/>
            </w:tcBorders>
            <w:tcMar>
              <w:top w:w="40" w:type="dxa"/>
              <w:left w:w="40" w:type="dxa"/>
              <w:bottom w:w="40" w:type="dxa"/>
              <w:right w:w="40" w:type="dxa"/>
            </w:tcMar>
            <w:vAlign w:val="center"/>
            <w:hideMark/>
          </w:tcPr>
          <w:p w14:paraId="312CBD0E" w14:textId="77777777" w:rsidR="00A029FC" w:rsidRDefault="00A029FC">
            <w:pPr>
              <w:pStyle w:val="NormalWeb"/>
              <w:spacing w:before="0" w:beforeAutospacing="0" w:after="0" w:afterAutospacing="0"/>
              <w:jc w:val="center"/>
            </w:pPr>
            <w:r>
              <w:rPr>
                <w:rFonts w:ascii="Arial" w:hAnsi="Arial" w:cs="Arial"/>
                <w:color w:val="000000"/>
                <w:sz w:val="20"/>
                <w:szCs w:val="20"/>
              </w:rPr>
              <w:t>30458 (13,03%)</w:t>
            </w:r>
          </w:p>
        </w:tc>
      </w:tr>
    </w:tbl>
    <w:p w14:paraId="4A53F163" w14:textId="77777777" w:rsidR="00A029FC" w:rsidRDefault="00A029FC" w:rsidP="00A029FC"/>
    <w:p w14:paraId="34515947" w14:textId="083E6028" w:rsidR="00A029FC" w:rsidRDefault="00A029FC" w:rsidP="001A1C79">
      <w:pPr>
        <w:pStyle w:val="NormalWeb"/>
        <w:spacing w:before="240" w:beforeAutospacing="0" w:after="240" w:afterAutospacing="0" w:line="360" w:lineRule="auto"/>
        <w:ind w:firstLine="720"/>
        <w:jc w:val="both"/>
      </w:pPr>
      <w:r>
        <w:rPr>
          <w:rFonts w:ascii="Arial" w:hAnsi="Arial" w:cs="Arial"/>
          <w:color w:val="000000"/>
          <w:shd w:val="clear" w:color="auto" w:fill="FFFFFF"/>
        </w:rPr>
        <w:t>A análise da série histórica da taxa de m</w:t>
      </w:r>
      <w:r w:rsidR="005A1116">
        <w:rPr>
          <w:rFonts w:ascii="Arial" w:hAnsi="Arial" w:cs="Arial"/>
          <w:color w:val="000000"/>
          <w:shd w:val="clear" w:color="auto" w:fill="FFFFFF"/>
        </w:rPr>
        <w:t xml:space="preserve">ortalidade (Gráfico </w:t>
      </w:r>
      <w:r w:rsidR="00111874">
        <w:rPr>
          <w:rFonts w:ascii="Arial" w:hAnsi="Arial" w:cs="Arial"/>
          <w:color w:val="000000"/>
          <w:shd w:val="clear" w:color="auto" w:fill="FFFFFF"/>
        </w:rPr>
        <w:t>3</w:t>
      </w:r>
      <w:r w:rsidR="005A1116">
        <w:rPr>
          <w:rFonts w:ascii="Arial" w:hAnsi="Arial" w:cs="Arial"/>
          <w:color w:val="000000"/>
          <w:shd w:val="clear" w:color="auto" w:fill="FFFFFF"/>
        </w:rPr>
        <w:t xml:space="preserve">) indica </w:t>
      </w:r>
      <w:r>
        <w:rPr>
          <w:rFonts w:ascii="Arial" w:hAnsi="Arial" w:cs="Arial"/>
          <w:color w:val="000000"/>
          <w:shd w:val="clear" w:color="auto" w:fill="FFFFFF"/>
        </w:rPr>
        <w:t>a tendência geral de declínio no i</w:t>
      </w:r>
      <w:r w:rsidR="005A1116">
        <w:rPr>
          <w:rFonts w:ascii="Arial" w:hAnsi="Arial" w:cs="Arial"/>
          <w:color w:val="000000"/>
          <w:shd w:val="clear" w:color="auto" w:fill="FFFFFF"/>
        </w:rPr>
        <w:t>nício do período, seguida por</w:t>
      </w:r>
      <w:r>
        <w:rPr>
          <w:rFonts w:ascii="Arial" w:hAnsi="Arial" w:cs="Arial"/>
          <w:color w:val="000000"/>
          <w:shd w:val="clear" w:color="auto" w:fill="FFFFFF"/>
        </w:rPr>
        <w:t xml:space="preserve"> aumen</w:t>
      </w:r>
      <w:r w:rsidR="005A1116">
        <w:rPr>
          <w:rFonts w:ascii="Arial" w:hAnsi="Arial" w:cs="Arial"/>
          <w:color w:val="000000"/>
          <w:shd w:val="clear" w:color="auto" w:fill="FFFFFF"/>
        </w:rPr>
        <w:t xml:space="preserve">to acentuado que culminou em </w:t>
      </w:r>
      <w:r>
        <w:rPr>
          <w:rFonts w:ascii="Arial" w:hAnsi="Arial" w:cs="Arial"/>
          <w:color w:val="000000"/>
          <w:shd w:val="clear" w:color="auto" w:fill="FFFFFF"/>
        </w:rPr>
        <w:t>pico por volta de 2021. Após este pico, observa-se queda nas taxas em todas as regiões.</w:t>
      </w:r>
    </w:p>
    <w:p w14:paraId="74CD30B1" w14:textId="403B31F7" w:rsidR="00A029FC" w:rsidRDefault="00A3696C" w:rsidP="005A1116">
      <w:pPr>
        <w:pStyle w:val="NormalWeb"/>
        <w:spacing w:before="0" w:beforeAutospacing="0" w:after="240" w:afterAutospacing="0"/>
        <w:jc w:val="center"/>
      </w:pPr>
      <w:r>
        <w:rPr>
          <w:noProof/>
        </w:rPr>
        <w:lastRenderedPageBreak/>
        <w:drawing>
          <wp:inline distT="0" distB="0" distL="0" distR="0" wp14:anchorId="116E4654" wp14:editId="1A6EC79A">
            <wp:extent cx="6120130" cy="285940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rt (1).png"/>
                    <pic:cNvPicPr/>
                  </pic:nvPicPr>
                  <pic:blipFill>
                    <a:blip r:embed="rId13">
                      <a:extLst>
                        <a:ext uri="{28A0092B-C50C-407E-A947-70E740481C1C}">
                          <a14:useLocalDpi xmlns:a14="http://schemas.microsoft.com/office/drawing/2010/main" val="0"/>
                        </a:ext>
                      </a:extLst>
                    </a:blip>
                    <a:stretch>
                      <a:fillRect/>
                    </a:stretch>
                  </pic:blipFill>
                  <pic:spPr>
                    <a:xfrm>
                      <a:off x="0" y="0"/>
                      <a:ext cx="6120130" cy="2859405"/>
                    </a:xfrm>
                    <a:prstGeom prst="rect">
                      <a:avLst/>
                    </a:prstGeom>
                  </pic:spPr>
                </pic:pic>
              </a:graphicData>
            </a:graphic>
          </wp:inline>
        </w:drawing>
      </w:r>
    </w:p>
    <w:p w14:paraId="39F896CA" w14:textId="021EABD4" w:rsidR="00152CD6" w:rsidRDefault="00152CD6" w:rsidP="005A1116">
      <w:pPr>
        <w:pStyle w:val="NormalWeb"/>
        <w:spacing w:before="0" w:beforeAutospacing="0" w:after="240" w:afterAutospacing="0"/>
        <w:jc w:val="center"/>
      </w:pPr>
      <w:r>
        <w:rPr>
          <w:rFonts w:ascii="Arial" w:hAnsi="Arial" w:cs="Arial"/>
          <w:b/>
          <w:bCs/>
          <w:color w:val="000000"/>
          <w:shd w:val="clear" w:color="auto" w:fill="FFFFFF"/>
        </w:rPr>
        <w:t>Gráfico 3</w:t>
      </w:r>
      <w:r>
        <w:rPr>
          <w:rFonts w:ascii="Arial" w:hAnsi="Arial" w:cs="Arial"/>
          <w:color w:val="000000"/>
          <w:shd w:val="clear" w:color="auto" w:fill="FFFFFF"/>
        </w:rPr>
        <w:t>. Taxa de Mortalidade por Regiões no Brasil.</w:t>
      </w:r>
    </w:p>
    <w:p w14:paraId="541C1060" w14:textId="2E96A0EC" w:rsidR="00A029FC" w:rsidRDefault="00A029FC" w:rsidP="001A1C79">
      <w:pPr>
        <w:pStyle w:val="NormalWeb"/>
        <w:spacing w:before="240" w:beforeAutospacing="0" w:after="240" w:afterAutospacing="0" w:line="360" w:lineRule="auto"/>
        <w:ind w:firstLine="720"/>
        <w:jc w:val="both"/>
      </w:pPr>
      <w:r>
        <w:rPr>
          <w:rFonts w:ascii="Arial" w:hAnsi="Arial" w:cs="Arial"/>
          <w:color w:val="000000"/>
          <w:shd w:val="clear" w:color="auto" w:fill="FFFFFF"/>
        </w:rPr>
        <w:t>A região Sudeste apresentou consistentemente as maiores taxas de mortalidade ao longo de quase todo o período, enquanto as regiões Norte e Centro-Oeste registraram as menores.</w:t>
      </w:r>
      <w:r w:rsidR="00152CD6">
        <w:t xml:space="preserve"> </w:t>
      </w:r>
      <w:r>
        <w:rPr>
          <w:rFonts w:ascii="Arial" w:hAnsi="Arial" w:cs="Arial"/>
          <w:color w:val="000000"/>
          <w:shd w:val="clear" w:color="auto" w:fill="FFFFFF"/>
        </w:rPr>
        <w:t>Quanto à distribuição absoluta dos óbitos (Tabela 1), as regiões Sudeste (111.387; 47,68%) e Nordeste (66.062; 28,26%) concentraram a maior parte das notificações. A região Sudeste também liderou em relação à taxa de mortalidade (6,74/100 mil hab.), seguida pela Nordeste (5,65/100 mil hab.).</w:t>
      </w:r>
    </w:p>
    <w:p w14:paraId="33237F41" w14:textId="77777777" w:rsidR="00A029FC" w:rsidRDefault="00A029FC" w:rsidP="001A1C79">
      <w:pPr>
        <w:pStyle w:val="NormalWeb"/>
        <w:spacing w:before="240" w:beforeAutospacing="0" w:after="240" w:afterAutospacing="0" w:line="360" w:lineRule="auto"/>
        <w:ind w:firstLine="720"/>
        <w:jc w:val="both"/>
      </w:pPr>
      <w:r>
        <w:rPr>
          <w:rFonts w:ascii="Arial" w:hAnsi="Arial" w:cs="Arial"/>
          <w:color w:val="000000"/>
          <w:shd w:val="clear" w:color="auto" w:fill="FFFFFF"/>
        </w:rPr>
        <w:t>A análise do perfil dos óbitos segundo variáveis sociodemográficas demonstrou que a população idosa (60 anos ou mais) foi a mais acometida, respondendo por 174.071 mortes, o que corresponde a 74,49% do total (Tabela 3). A Região Sul apresentou o maior percentual de óbitos nesta faixa etária (77,22%).</w:t>
      </w:r>
    </w:p>
    <w:p w14:paraId="73D5ACD0" w14:textId="31798990" w:rsidR="00A029FC" w:rsidRDefault="00614DBC" w:rsidP="00A029FC">
      <w:pPr>
        <w:pStyle w:val="NormalWeb"/>
        <w:spacing w:before="0" w:beforeAutospacing="0" w:after="0" w:afterAutospacing="0"/>
        <w:jc w:val="both"/>
      </w:pPr>
      <w:r>
        <w:rPr>
          <w:rFonts w:ascii="Arial" w:hAnsi="Arial" w:cs="Arial"/>
          <w:b/>
          <w:bCs/>
          <w:color w:val="000000"/>
          <w:shd w:val="clear" w:color="auto" w:fill="FFFFFF"/>
        </w:rPr>
        <w:t xml:space="preserve">Tabela 3. </w:t>
      </w:r>
      <w:r w:rsidR="00A029FC">
        <w:rPr>
          <w:rFonts w:ascii="Arial" w:hAnsi="Arial" w:cs="Arial"/>
          <w:color w:val="000000"/>
          <w:shd w:val="clear" w:color="auto" w:fill="FFFFFF"/>
        </w:rPr>
        <w:t>Distribuição de Óbitos por Faixa Etária nas Regiões do Brasil.</w:t>
      </w:r>
    </w:p>
    <w:tbl>
      <w:tblPr>
        <w:tblW w:w="0" w:type="auto"/>
        <w:tblCellMar>
          <w:top w:w="15" w:type="dxa"/>
          <w:left w:w="15" w:type="dxa"/>
          <w:bottom w:w="15" w:type="dxa"/>
          <w:right w:w="15" w:type="dxa"/>
        </w:tblCellMar>
        <w:tblLook w:val="04A0" w:firstRow="1" w:lastRow="0" w:firstColumn="1" w:lastColumn="0" w:noHBand="0" w:noVBand="1"/>
      </w:tblPr>
      <w:tblGrid>
        <w:gridCol w:w="1158"/>
        <w:gridCol w:w="1163"/>
        <w:gridCol w:w="1392"/>
        <w:gridCol w:w="1303"/>
        <w:gridCol w:w="1222"/>
        <w:gridCol w:w="2118"/>
        <w:gridCol w:w="1282"/>
      </w:tblGrid>
      <w:tr w:rsidR="00A029FC" w14:paraId="48C52651" w14:textId="77777777" w:rsidTr="00A029FC">
        <w:trPr>
          <w:trHeight w:val="765"/>
        </w:trPr>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67539D59" w14:textId="77777777" w:rsidR="00A029FC" w:rsidRDefault="00A029FC">
            <w:pPr>
              <w:pStyle w:val="NormalWeb"/>
              <w:spacing w:before="0" w:beforeAutospacing="0" w:after="0" w:afterAutospacing="0"/>
              <w:jc w:val="center"/>
            </w:pPr>
            <w:r>
              <w:rPr>
                <w:rFonts w:ascii="Arial" w:hAnsi="Arial" w:cs="Arial"/>
                <w:b/>
                <w:bCs/>
                <w:color w:val="000000"/>
                <w:sz w:val="20"/>
                <w:szCs w:val="20"/>
              </w:rPr>
              <w:t>Faixa Etária</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0DC84DDB"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Norte </w:t>
            </w:r>
          </w:p>
          <w:p w14:paraId="585F7AF6" w14:textId="77777777" w:rsidR="00A029FC" w:rsidRDefault="00A029FC">
            <w:pPr>
              <w:pStyle w:val="NormalWeb"/>
              <w:spacing w:before="0" w:beforeAutospacing="0" w:after="0" w:afterAutospacing="0"/>
              <w:jc w:val="center"/>
            </w:pPr>
            <w:r>
              <w:rPr>
                <w:rFonts w:ascii="Arial" w:hAnsi="Arial" w:cs="Arial"/>
                <w:b/>
                <w:bCs/>
                <w:color w:val="000000"/>
                <w:sz w:val="20"/>
                <w:szCs w:val="20"/>
              </w:rPr>
              <w:t>(n = 12650)</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61FD163E"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Nordeste </w:t>
            </w:r>
          </w:p>
          <w:p w14:paraId="454B316C" w14:textId="77777777" w:rsidR="00A029FC" w:rsidRDefault="00A029FC">
            <w:pPr>
              <w:pStyle w:val="NormalWeb"/>
              <w:spacing w:before="0" w:beforeAutospacing="0" w:after="0" w:afterAutospacing="0"/>
              <w:jc w:val="center"/>
            </w:pPr>
            <w:r>
              <w:rPr>
                <w:rFonts w:ascii="Arial" w:hAnsi="Arial" w:cs="Arial"/>
                <w:b/>
                <w:bCs/>
                <w:color w:val="000000"/>
                <w:sz w:val="20"/>
                <w:szCs w:val="20"/>
              </w:rPr>
              <w:t>(n = 66062)</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70B3E176"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Sudeste </w:t>
            </w:r>
          </w:p>
          <w:p w14:paraId="3FDD54EB" w14:textId="77777777" w:rsidR="00A029FC" w:rsidRDefault="00A029FC">
            <w:pPr>
              <w:pStyle w:val="NormalWeb"/>
              <w:spacing w:before="0" w:beforeAutospacing="0" w:after="0" w:afterAutospacing="0"/>
              <w:jc w:val="center"/>
            </w:pPr>
            <w:r>
              <w:rPr>
                <w:rFonts w:ascii="Arial" w:hAnsi="Arial" w:cs="Arial"/>
                <w:b/>
                <w:bCs/>
                <w:color w:val="000000"/>
                <w:sz w:val="20"/>
                <w:szCs w:val="20"/>
              </w:rPr>
              <w:t>(n = 111387)</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562729D1" w14:textId="77777777" w:rsidR="005A1116" w:rsidRDefault="00A029FC">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 xml:space="preserve">Região Sul </w:t>
            </w:r>
          </w:p>
          <w:p w14:paraId="290F8853" w14:textId="4009E1C5" w:rsidR="00A029FC" w:rsidRDefault="00A029FC">
            <w:pPr>
              <w:pStyle w:val="NormalWeb"/>
              <w:spacing w:before="0" w:beforeAutospacing="0" w:after="0" w:afterAutospacing="0"/>
              <w:jc w:val="center"/>
            </w:pPr>
            <w:r>
              <w:rPr>
                <w:rFonts w:ascii="Arial" w:hAnsi="Arial" w:cs="Arial"/>
                <w:b/>
                <w:bCs/>
                <w:color w:val="000000"/>
                <w:sz w:val="20"/>
                <w:szCs w:val="20"/>
              </w:rPr>
              <w:t>(n = 31325)</w:t>
            </w:r>
          </w:p>
        </w:tc>
        <w:tc>
          <w:tcPr>
            <w:tcW w:w="0" w:type="auto"/>
            <w:tcBorders>
              <w:top w:val="single" w:sz="6" w:space="0" w:color="000000"/>
              <w:bottom w:val="single" w:sz="6" w:space="0" w:color="000000"/>
            </w:tcBorders>
            <w:tcMar>
              <w:top w:w="40" w:type="dxa"/>
              <w:left w:w="40" w:type="dxa"/>
              <w:bottom w:w="40" w:type="dxa"/>
              <w:right w:w="40" w:type="dxa"/>
            </w:tcMar>
            <w:vAlign w:val="bottom"/>
            <w:hideMark/>
          </w:tcPr>
          <w:p w14:paraId="53EDA088"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Centro-Oeste (n = 12245)</w:t>
            </w:r>
          </w:p>
        </w:tc>
        <w:tc>
          <w:tcPr>
            <w:tcW w:w="0" w:type="auto"/>
            <w:tcBorders>
              <w:top w:val="single" w:sz="6" w:space="0" w:color="000000"/>
              <w:bottom w:val="single" w:sz="6" w:space="0" w:color="000000"/>
            </w:tcBorders>
            <w:tcMar>
              <w:top w:w="40" w:type="dxa"/>
              <w:left w:w="0" w:type="dxa"/>
              <w:bottom w:w="40" w:type="dxa"/>
              <w:right w:w="0" w:type="dxa"/>
            </w:tcMar>
            <w:vAlign w:val="bottom"/>
            <w:hideMark/>
          </w:tcPr>
          <w:p w14:paraId="5E346D14" w14:textId="77777777" w:rsidR="00A029FC" w:rsidRDefault="00A029FC">
            <w:pPr>
              <w:pStyle w:val="NormalWeb"/>
              <w:spacing w:before="0" w:beforeAutospacing="0" w:after="0" w:afterAutospacing="0"/>
              <w:ind w:left="-9360" w:right="-9360"/>
              <w:jc w:val="center"/>
            </w:pPr>
            <w:r>
              <w:rPr>
                <w:rFonts w:ascii="Arial" w:hAnsi="Arial" w:cs="Arial"/>
                <w:b/>
                <w:bCs/>
                <w:color w:val="000000"/>
                <w:sz w:val="20"/>
                <w:szCs w:val="20"/>
              </w:rPr>
              <w:t>Total </w:t>
            </w:r>
          </w:p>
          <w:p w14:paraId="1C4972C8" w14:textId="77777777" w:rsidR="00A029FC" w:rsidRDefault="00A029FC">
            <w:pPr>
              <w:pStyle w:val="NormalWeb"/>
              <w:spacing w:before="0" w:beforeAutospacing="0" w:after="0" w:afterAutospacing="0"/>
              <w:ind w:left="-9360" w:right="-9360"/>
              <w:jc w:val="center"/>
            </w:pPr>
            <w:r>
              <w:rPr>
                <w:rFonts w:ascii="Arial" w:hAnsi="Arial" w:cs="Arial"/>
                <w:b/>
                <w:bCs/>
                <w:color w:val="000000"/>
                <w:sz w:val="20"/>
                <w:szCs w:val="20"/>
              </w:rPr>
              <w:t>(n = 233669)</w:t>
            </w:r>
          </w:p>
        </w:tc>
      </w:tr>
      <w:tr w:rsidR="00A029FC" w14:paraId="376B17EC" w14:textId="77777777" w:rsidTr="00A029FC">
        <w:trPr>
          <w:trHeight w:val="315"/>
        </w:trPr>
        <w:tc>
          <w:tcPr>
            <w:tcW w:w="0" w:type="auto"/>
            <w:tcBorders>
              <w:top w:val="single" w:sz="6" w:space="0" w:color="000000"/>
            </w:tcBorders>
            <w:tcMar>
              <w:top w:w="40" w:type="dxa"/>
              <w:left w:w="40" w:type="dxa"/>
              <w:bottom w:w="40" w:type="dxa"/>
              <w:right w:w="40" w:type="dxa"/>
            </w:tcMar>
            <w:vAlign w:val="bottom"/>
            <w:hideMark/>
          </w:tcPr>
          <w:p w14:paraId="4E5BCC17" w14:textId="77777777" w:rsidR="00A029FC" w:rsidRDefault="00A029FC">
            <w:pPr>
              <w:pStyle w:val="NormalWeb"/>
              <w:spacing w:before="0" w:beforeAutospacing="0" w:after="0" w:afterAutospacing="0"/>
              <w:jc w:val="center"/>
            </w:pPr>
            <w:r>
              <w:rPr>
                <w:rFonts w:ascii="Arial" w:hAnsi="Arial" w:cs="Arial"/>
                <w:color w:val="000000"/>
                <w:sz w:val="20"/>
                <w:szCs w:val="20"/>
              </w:rPr>
              <w:t>Menor que 1 ano</w:t>
            </w:r>
          </w:p>
        </w:tc>
        <w:tc>
          <w:tcPr>
            <w:tcW w:w="0" w:type="auto"/>
            <w:tcBorders>
              <w:top w:val="single" w:sz="6" w:space="0" w:color="000000"/>
            </w:tcBorders>
            <w:tcMar>
              <w:top w:w="40" w:type="dxa"/>
              <w:left w:w="40" w:type="dxa"/>
              <w:bottom w:w="40" w:type="dxa"/>
              <w:right w:w="40" w:type="dxa"/>
            </w:tcMar>
            <w:vAlign w:val="bottom"/>
            <w:hideMark/>
          </w:tcPr>
          <w:p w14:paraId="32B15FF4" w14:textId="77777777" w:rsidR="00A029FC" w:rsidRDefault="00A029FC">
            <w:pPr>
              <w:pStyle w:val="NormalWeb"/>
              <w:spacing w:before="0" w:beforeAutospacing="0" w:after="0" w:afterAutospacing="0"/>
              <w:jc w:val="center"/>
            </w:pPr>
            <w:r>
              <w:rPr>
                <w:rFonts w:ascii="Arial" w:hAnsi="Arial" w:cs="Arial"/>
                <w:color w:val="000000"/>
                <w:sz w:val="20"/>
                <w:szCs w:val="20"/>
              </w:rPr>
              <w:t>359 (2,84%)</w:t>
            </w:r>
          </w:p>
        </w:tc>
        <w:tc>
          <w:tcPr>
            <w:tcW w:w="0" w:type="auto"/>
            <w:tcBorders>
              <w:top w:val="single" w:sz="6" w:space="0" w:color="000000"/>
            </w:tcBorders>
            <w:tcMar>
              <w:top w:w="40" w:type="dxa"/>
              <w:left w:w="40" w:type="dxa"/>
              <w:bottom w:w="40" w:type="dxa"/>
              <w:right w:w="40" w:type="dxa"/>
            </w:tcMar>
            <w:vAlign w:val="bottom"/>
            <w:hideMark/>
          </w:tcPr>
          <w:p w14:paraId="59BAE60F" w14:textId="77777777" w:rsidR="00A029FC" w:rsidRDefault="00A029FC">
            <w:pPr>
              <w:pStyle w:val="NormalWeb"/>
              <w:spacing w:before="0" w:beforeAutospacing="0" w:after="0" w:afterAutospacing="0"/>
              <w:jc w:val="center"/>
            </w:pPr>
            <w:r>
              <w:rPr>
                <w:rFonts w:ascii="Arial" w:hAnsi="Arial" w:cs="Arial"/>
                <w:color w:val="000000"/>
                <w:sz w:val="20"/>
                <w:szCs w:val="20"/>
              </w:rPr>
              <w:t>884 (1,34%)</w:t>
            </w:r>
          </w:p>
        </w:tc>
        <w:tc>
          <w:tcPr>
            <w:tcW w:w="0" w:type="auto"/>
            <w:tcBorders>
              <w:top w:val="single" w:sz="6" w:space="0" w:color="000000"/>
            </w:tcBorders>
            <w:tcMar>
              <w:top w:w="40" w:type="dxa"/>
              <w:left w:w="40" w:type="dxa"/>
              <w:bottom w:w="40" w:type="dxa"/>
              <w:right w:w="40" w:type="dxa"/>
            </w:tcMar>
            <w:vAlign w:val="bottom"/>
            <w:hideMark/>
          </w:tcPr>
          <w:p w14:paraId="7218C628" w14:textId="77777777" w:rsidR="00A029FC" w:rsidRDefault="00A029FC">
            <w:pPr>
              <w:pStyle w:val="NormalWeb"/>
              <w:spacing w:before="0" w:beforeAutospacing="0" w:after="0" w:afterAutospacing="0"/>
              <w:jc w:val="center"/>
            </w:pPr>
            <w:r>
              <w:rPr>
                <w:rFonts w:ascii="Arial" w:hAnsi="Arial" w:cs="Arial"/>
                <w:color w:val="000000"/>
                <w:sz w:val="20"/>
                <w:szCs w:val="20"/>
              </w:rPr>
              <w:t>539 (0,48%)</w:t>
            </w:r>
          </w:p>
        </w:tc>
        <w:tc>
          <w:tcPr>
            <w:tcW w:w="0" w:type="auto"/>
            <w:tcBorders>
              <w:top w:val="single" w:sz="6" w:space="0" w:color="000000"/>
            </w:tcBorders>
            <w:tcMar>
              <w:top w:w="40" w:type="dxa"/>
              <w:left w:w="40" w:type="dxa"/>
              <w:bottom w:w="40" w:type="dxa"/>
              <w:right w:w="40" w:type="dxa"/>
            </w:tcMar>
            <w:vAlign w:val="bottom"/>
            <w:hideMark/>
          </w:tcPr>
          <w:p w14:paraId="3B76DE46" w14:textId="77777777" w:rsidR="00A029FC" w:rsidRDefault="00A029FC">
            <w:pPr>
              <w:pStyle w:val="NormalWeb"/>
              <w:spacing w:before="0" w:beforeAutospacing="0" w:after="0" w:afterAutospacing="0"/>
              <w:jc w:val="center"/>
            </w:pPr>
            <w:r>
              <w:rPr>
                <w:rFonts w:ascii="Arial" w:hAnsi="Arial" w:cs="Arial"/>
                <w:color w:val="000000"/>
                <w:sz w:val="20"/>
                <w:szCs w:val="20"/>
              </w:rPr>
              <w:t>168 (0,54%)</w:t>
            </w:r>
          </w:p>
        </w:tc>
        <w:tc>
          <w:tcPr>
            <w:tcW w:w="0" w:type="auto"/>
            <w:tcBorders>
              <w:top w:val="single" w:sz="6" w:space="0" w:color="000000"/>
            </w:tcBorders>
            <w:tcMar>
              <w:top w:w="40" w:type="dxa"/>
              <w:left w:w="40" w:type="dxa"/>
              <w:bottom w:w="40" w:type="dxa"/>
              <w:right w:w="40" w:type="dxa"/>
            </w:tcMar>
            <w:vAlign w:val="bottom"/>
            <w:hideMark/>
          </w:tcPr>
          <w:p w14:paraId="5A39F314" w14:textId="77777777" w:rsidR="00A029FC" w:rsidRDefault="00A029FC">
            <w:pPr>
              <w:pStyle w:val="NormalWeb"/>
              <w:spacing w:before="0" w:beforeAutospacing="0" w:after="0" w:afterAutospacing="0"/>
              <w:jc w:val="center"/>
            </w:pPr>
            <w:r>
              <w:rPr>
                <w:rFonts w:ascii="Arial" w:hAnsi="Arial" w:cs="Arial"/>
                <w:color w:val="000000"/>
                <w:sz w:val="20"/>
                <w:szCs w:val="20"/>
              </w:rPr>
              <w:t>165 (1,35%)</w:t>
            </w:r>
          </w:p>
        </w:tc>
        <w:tc>
          <w:tcPr>
            <w:tcW w:w="0" w:type="auto"/>
            <w:tcBorders>
              <w:top w:val="single" w:sz="6" w:space="0" w:color="000000"/>
            </w:tcBorders>
            <w:tcMar>
              <w:top w:w="40" w:type="dxa"/>
              <w:left w:w="40" w:type="dxa"/>
              <w:bottom w:w="40" w:type="dxa"/>
              <w:right w:w="40" w:type="dxa"/>
            </w:tcMar>
            <w:vAlign w:val="bottom"/>
            <w:hideMark/>
          </w:tcPr>
          <w:p w14:paraId="7C2F2353" w14:textId="77777777" w:rsidR="00A029FC" w:rsidRDefault="00A029FC">
            <w:pPr>
              <w:pStyle w:val="NormalWeb"/>
              <w:spacing w:before="0" w:beforeAutospacing="0" w:after="0" w:afterAutospacing="0"/>
              <w:jc w:val="center"/>
            </w:pPr>
            <w:r>
              <w:rPr>
                <w:rFonts w:ascii="Arial" w:hAnsi="Arial" w:cs="Arial"/>
                <w:color w:val="000000"/>
                <w:sz w:val="20"/>
                <w:szCs w:val="20"/>
              </w:rPr>
              <w:t>2115 (0,91%)</w:t>
            </w:r>
          </w:p>
        </w:tc>
      </w:tr>
      <w:tr w:rsidR="00A029FC" w14:paraId="15950F3A" w14:textId="77777777" w:rsidTr="00A029FC">
        <w:trPr>
          <w:trHeight w:val="315"/>
        </w:trPr>
        <w:tc>
          <w:tcPr>
            <w:tcW w:w="0" w:type="auto"/>
            <w:tcMar>
              <w:top w:w="40" w:type="dxa"/>
              <w:left w:w="40" w:type="dxa"/>
              <w:bottom w:w="40" w:type="dxa"/>
              <w:right w:w="40" w:type="dxa"/>
            </w:tcMar>
            <w:vAlign w:val="bottom"/>
            <w:hideMark/>
          </w:tcPr>
          <w:p w14:paraId="22817A73" w14:textId="77777777" w:rsidR="00A029FC" w:rsidRDefault="00A029FC">
            <w:pPr>
              <w:pStyle w:val="NormalWeb"/>
              <w:spacing w:before="0" w:beforeAutospacing="0" w:after="0" w:afterAutospacing="0"/>
              <w:jc w:val="center"/>
            </w:pPr>
            <w:r>
              <w:rPr>
                <w:rFonts w:ascii="Arial" w:hAnsi="Arial" w:cs="Arial"/>
                <w:color w:val="000000"/>
                <w:sz w:val="20"/>
                <w:szCs w:val="20"/>
              </w:rPr>
              <w:t>1 a 4 anos</w:t>
            </w:r>
          </w:p>
        </w:tc>
        <w:tc>
          <w:tcPr>
            <w:tcW w:w="0" w:type="auto"/>
            <w:tcMar>
              <w:top w:w="40" w:type="dxa"/>
              <w:left w:w="40" w:type="dxa"/>
              <w:bottom w:w="40" w:type="dxa"/>
              <w:right w:w="40" w:type="dxa"/>
            </w:tcMar>
            <w:vAlign w:val="bottom"/>
            <w:hideMark/>
          </w:tcPr>
          <w:p w14:paraId="5C434CB7" w14:textId="77777777" w:rsidR="00A029FC" w:rsidRDefault="00A029FC">
            <w:pPr>
              <w:pStyle w:val="NormalWeb"/>
              <w:spacing w:before="0" w:beforeAutospacing="0" w:after="0" w:afterAutospacing="0"/>
              <w:jc w:val="center"/>
            </w:pPr>
            <w:r>
              <w:rPr>
                <w:rFonts w:ascii="Arial" w:hAnsi="Arial" w:cs="Arial"/>
                <w:color w:val="000000"/>
                <w:sz w:val="20"/>
                <w:szCs w:val="20"/>
              </w:rPr>
              <w:t>167 (1,32%)</w:t>
            </w:r>
          </w:p>
        </w:tc>
        <w:tc>
          <w:tcPr>
            <w:tcW w:w="0" w:type="auto"/>
            <w:tcMar>
              <w:top w:w="40" w:type="dxa"/>
              <w:left w:w="40" w:type="dxa"/>
              <w:bottom w:w="40" w:type="dxa"/>
              <w:right w:w="40" w:type="dxa"/>
            </w:tcMar>
            <w:vAlign w:val="bottom"/>
            <w:hideMark/>
          </w:tcPr>
          <w:p w14:paraId="1CE2F880" w14:textId="77777777" w:rsidR="00A029FC" w:rsidRDefault="00A029FC">
            <w:pPr>
              <w:pStyle w:val="NormalWeb"/>
              <w:spacing w:before="0" w:beforeAutospacing="0" w:after="0" w:afterAutospacing="0"/>
              <w:jc w:val="center"/>
            </w:pPr>
            <w:r>
              <w:rPr>
                <w:rFonts w:ascii="Arial" w:hAnsi="Arial" w:cs="Arial"/>
                <w:color w:val="000000"/>
                <w:sz w:val="20"/>
                <w:szCs w:val="20"/>
              </w:rPr>
              <w:t>227 (0,34%)</w:t>
            </w:r>
          </w:p>
        </w:tc>
        <w:tc>
          <w:tcPr>
            <w:tcW w:w="0" w:type="auto"/>
            <w:tcMar>
              <w:top w:w="40" w:type="dxa"/>
              <w:left w:w="40" w:type="dxa"/>
              <w:bottom w:w="40" w:type="dxa"/>
              <w:right w:w="40" w:type="dxa"/>
            </w:tcMar>
            <w:vAlign w:val="bottom"/>
            <w:hideMark/>
          </w:tcPr>
          <w:p w14:paraId="4A640F2E" w14:textId="77777777" w:rsidR="00A029FC" w:rsidRDefault="00A029FC">
            <w:pPr>
              <w:pStyle w:val="NormalWeb"/>
              <w:spacing w:before="0" w:beforeAutospacing="0" w:after="0" w:afterAutospacing="0"/>
              <w:jc w:val="center"/>
            </w:pPr>
            <w:r>
              <w:rPr>
                <w:rFonts w:ascii="Arial" w:hAnsi="Arial" w:cs="Arial"/>
                <w:color w:val="000000"/>
                <w:sz w:val="20"/>
                <w:szCs w:val="20"/>
              </w:rPr>
              <w:t>215 (0,19%)</w:t>
            </w:r>
          </w:p>
        </w:tc>
        <w:tc>
          <w:tcPr>
            <w:tcW w:w="0" w:type="auto"/>
            <w:tcMar>
              <w:top w:w="40" w:type="dxa"/>
              <w:left w:w="40" w:type="dxa"/>
              <w:bottom w:w="40" w:type="dxa"/>
              <w:right w:w="40" w:type="dxa"/>
            </w:tcMar>
            <w:vAlign w:val="bottom"/>
            <w:hideMark/>
          </w:tcPr>
          <w:p w14:paraId="7BA738E4" w14:textId="77777777" w:rsidR="00A029FC" w:rsidRDefault="00A029FC">
            <w:pPr>
              <w:pStyle w:val="NormalWeb"/>
              <w:spacing w:before="0" w:beforeAutospacing="0" w:after="0" w:afterAutospacing="0"/>
              <w:jc w:val="center"/>
            </w:pPr>
            <w:r>
              <w:rPr>
                <w:rFonts w:ascii="Arial" w:hAnsi="Arial" w:cs="Arial"/>
                <w:color w:val="000000"/>
                <w:sz w:val="20"/>
                <w:szCs w:val="20"/>
              </w:rPr>
              <w:t>63 (0,20%)</w:t>
            </w:r>
          </w:p>
        </w:tc>
        <w:tc>
          <w:tcPr>
            <w:tcW w:w="0" w:type="auto"/>
            <w:tcMar>
              <w:top w:w="40" w:type="dxa"/>
              <w:left w:w="40" w:type="dxa"/>
              <w:bottom w:w="40" w:type="dxa"/>
              <w:right w:w="40" w:type="dxa"/>
            </w:tcMar>
            <w:vAlign w:val="bottom"/>
            <w:hideMark/>
          </w:tcPr>
          <w:p w14:paraId="593E7338" w14:textId="77777777" w:rsidR="00A029FC" w:rsidRDefault="00A029FC">
            <w:pPr>
              <w:pStyle w:val="NormalWeb"/>
              <w:spacing w:before="0" w:beforeAutospacing="0" w:after="0" w:afterAutospacing="0"/>
              <w:jc w:val="center"/>
            </w:pPr>
            <w:r>
              <w:rPr>
                <w:rFonts w:ascii="Arial" w:hAnsi="Arial" w:cs="Arial"/>
                <w:color w:val="000000"/>
                <w:sz w:val="20"/>
                <w:szCs w:val="20"/>
              </w:rPr>
              <w:t>120 (0,98%)</w:t>
            </w:r>
          </w:p>
        </w:tc>
        <w:tc>
          <w:tcPr>
            <w:tcW w:w="0" w:type="auto"/>
            <w:tcMar>
              <w:top w:w="40" w:type="dxa"/>
              <w:left w:w="40" w:type="dxa"/>
              <w:bottom w:w="40" w:type="dxa"/>
              <w:right w:w="40" w:type="dxa"/>
            </w:tcMar>
            <w:vAlign w:val="bottom"/>
            <w:hideMark/>
          </w:tcPr>
          <w:p w14:paraId="4BD716DE" w14:textId="77777777" w:rsidR="00A029FC" w:rsidRDefault="00A029FC">
            <w:pPr>
              <w:pStyle w:val="NormalWeb"/>
              <w:spacing w:before="0" w:beforeAutospacing="0" w:after="0" w:afterAutospacing="0"/>
              <w:jc w:val="center"/>
            </w:pPr>
            <w:r>
              <w:rPr>
                <w:rFonts w:ascii="Arial" w:hAnsi="Arial" w:cs="Arial"/>
                <w:color w:val="000000"/>
                <w:sz w:val="20"/>
                <w:szCs w:val="20"/>
              </w:rPr>
              <w:t>792 (0,34%)</w:t>
            </w:r>
          </w:p>
        </w:tc>
      </w:tr>
      <w:tr w:rsidR="00A029FC" w14:paraId="031544D3" w14:textId="77777777" w:rsidTr="00A029FC">
        <w:trPr>
          <w:trHeight w:val="315"/>
        </w:trPr>
        <w:tc>
          <w:tcPr>
            <w:tcW w:w="0" w:type="auto"/>
            <w:tcMar>
              <w:top w:w="40" w:type="dxa"/>
              <w:left w:w="40" w:type="dxa"/>
              <w:bottom w:w="40" w:type="dxa"/>
              <w:right w:w="40" w:type="dxa"/>
            </w:tcMar>
            <w:vAlign w:val="bottom"/>
            <w:hideMark/>
          </w:tcPr>
          <w:p w14:paraId="1275EFFA" w14:textId="77777777" w:rsidR="00A029FC" w:rsidRDefault="00A029FC">
            <w:pPr>
              <w:pStyle w:val="NormalWeb"/>
              <w:spacing w:before="0" w:beforeAutospacing="0" w:after="0" w:afterAutospacing="0"/>
              <w:jc w:val="center"/>
            </w:pPr>
            <w:r>
              <w:rPr>
                <w:rFonts w:ascii="Arial" w:hAnsi="Arial" w:cs="Arial"/>
                <w:color w:val="000000"/>
                <w:sz w:val="20"/>
                <w:szCs w:val="20"/>
              </w:rPr>
              <w:t>5 a 9 anos</w:t>
            </w:r>
          </w:p>
        </w:tc>
        <w:tc>
          <w:tcPr>
            <w:tcW w:w="0" w:type="auto"/>
            <w:tcMar>
              <w:top w:w="40" w:type="dxa"/>
              <w:left w:w="40" w:type="dxa"/>
              <w:bottom w:w="40" w:type="dxa"/>
              <w:right w:w="40" w:type="dxa"/>
            </w:tcMar>
            <w:vAlign w:val="bottom"/>
            <w:hideMark/>
          </w:tcPr>
          <w:p w14:paraId="5183FD5F" w14:textId="77777777" w:rsidR="00A029FC" w:rsidRDefault="00A029FC">
            <w:pPr>
              <w:pStyle w:val="NormalWeb"/>
              <w:spacing w:before="0" w:beforeAutospacing="0" w:after="0" w:afterAutospacing="0"/>
              <w:jc w:val="center"/>
            </w:pPr>
            <w:r>
              <w:rPr>
                <w:rFonts w:ascii="Arial" w:hAnsi="Arial" w:cs="Arial"/>
                <w:color w:val="000000"/>
                <w:sz w:val="20"/>
                <w:szCs w:val="20"/>
              </w:rPr>
              <w:t>53 (0,42%)</w:t>
            </w:r>
          </w:p>
        </w:tc>
        <w:tc>
          <w:tcPr>
            <w:tcW w:w="0" w:type="auto"/>
            <w:tcMar>
              <w:top w:w="40" w:type="dxa"/>
              <w:left w:w="40" w:type="dxa"/>
              <w:bottom w:w="40" w:type="dxa"/>
              <w:right w:w="40" w:type="dxa"/>
            </w:tcMar>
            <w:vAlign w:val="bottom"/>
            <w:hideMark/>
          </w:tcPr>
          <w:p w14:paraId="4F9BFE27" w14:textId="77777777" w:rsidR="00A029FC" w:rsidRDefault="00A029FC">
            <w:pPr>
              <w:pStyle w:val="NormalWeb"/>
              <w:spacing w:before="0" w:beforeAutospacing="0" w:after="0" w:afterAutospacing="0"/>
              <w:jc w:val="center"/>
            </w:pPr>
            <w:r>
              <w:rPr>
                <w:rFonts w:ascii="Arial" w:hAnsi="Arial" w:cs="Arial"/>
                <w:color w:val="000000"/>
                <w:sz w:val="20"/>
                <w:szCs w:val="20"/>
              </w:rPr>
              <w:t>106 (0,16%)</w:t>
            </w:r>
          </w:p>
        </w:tc>
        <w:tc>
          <w:tcPr>
            <w:tcW w:w="0" w:type="auto"/>
            <w:tcMar>
              <w:top w:w="40" w:type="dxa"/>
              <w:left w:w="40" w:type="dxa"/>
              <w:bottom w:w="40" w:type="dxa"/>
              <w:right w:w="40" w:type="dxa"/>
            </w:tcMar>
            <w:vAlign w:val="bottom"/>
            <w:hideMark/>
          </w:tcPr>
          <w:p w14:paraId="2E71F370" w14:textId="77777777" w:rsidR="00A029FC" w:rsidRDefault="00A029FC">
            <w:pPr>
              <w:pStyle w:val="NormalWeb"/>
              <w:spacing w:before="0" w:beforeAutospacing="0" w:after="0" w:afterAutospacing="0"/>
              <w:jc w:val="center"/>
            </w:pPr>
            <w:r>
              <w:rPr>
                <w:rFonts w:ascii="Arial" w:hAnsi="Arial" w:cs="Arial"/>
                <w:color w:val="000000"/>
                <w:sz w:val="20"/>
                <w:szCs w:val="20"/>
              </w:rPr>
              <w:t>111 (0,10%)</w:t>
            </w:r>
          </w:p>
        </w:tc>
        <w:tc>
          <w:tcPr>
            <w:tcW w:w="0" w:type="auto"/>
            <w:tcMar>
              <w:top w:w="40" w:type="dxa"/>
              <w:left w:w="40" w:type="dxa"/>
              <w:bottom w:w="40" w:type="dxa"/>
              <w:right w:w="40" w:type="dxa"/>
            </w:tcMar>
            <w:vAlign w:val="bottom"/>
            <w:hideMark/>
          </w:tcPr>
          <w:p w14:paraId="6494DE49" w14:textId="77777777" w:rsidR="00A029FC" w:rsidRDefault="00A029FC">
            <w:pPr>
              <w:pStyle w:val="NormalWeb"/>
              <w:spacing w:before="0" w:beforeAutospacing="0" w:after="0" w:afterAutospacing="0"/>
              <w:jc w:val="center"/>
            </w:pPr>
            <w:r>
              <w:rPr>
                <w:rFonts w:ascii="Arial" w:hAnsi="Arial" w:cs="Arial"/>
                <w:color w:val="000000"/>
                <w:sz w:val="20"/>
                <w:szCs w:val="20"/>
              </w:rPr>
              <w:t>36 (0,11%)</w:t>
            </w:r>
          </w:p>
        </w:tc>
        <w:tc>
          <w:tcPr>
            <w:tcW w:w="0" w:type="auto"/>
            <w:tcMar>
              <w:top w:w="40" w:type="dxa"/>
              <w:left w:w="40" w:type="dxa"/>
              <w:bottom w:w="40" w:type="dxa"/>
              <w:right w:w="40" w:type="dxa"/>
            </w:tcMar>
            <w:vAlign w:val="bottom"/>
            <w:hideMark/>
          </w:tcPr>
          <w:p w14:paraId="3E20851D" w14:textId="77777777" w:rsidR="00A029FC" w:rsidRDefault="00A029FC">
            <w:pPr>
              <w:pStyle w:val="NormalWeb"/>
              <w:spacing w:before="0" w:beforeAutospacing="0" w:after="0" w:afterAutospacing="0"/>
              <w:jc w:val="center"/>
            </w:pPr>
            <w:r>
              <w:rPr>
                <w:rFonts w:ascii="Arial" w:hAnsi="Arial" w:cs="Arial"/>
                <w:color w:val="000000"/>
                <w:sz w:val="20"/>
                <w:szCs w:val="20"/>
              </w:rPr>
              <w:t>28 (0,23%)</w:t>
            </w:r>
          </w:p>
        </w:tc>
        <w:tc>
          <w:tcPr>
            <w:tcW w:w="0" w:type="auto"/>
            <w:tcMar>
              <w:top w:w="40" w:type="dxa"/>
              <w:left w:w="40" w:type="dxa"/>
              <w:bottom w:w="40" w:type="dxa"/>
              <w:right w:w="40" w:type="dxa"/>
            </w:tcMar>
            <w:vAlign w:val="bottom"/>
            <w:hideMark/>
          </w:tcPr>
          <w:p w14:paraId="009F8746" w14:textId="77777777" w:rsidR="00A029FC" w:rsidRDefault="00A029FC">
            <w:pPr>
              <w:pStyle w:val="NormalWeb"/>
              <w:spacing w:before="0" w:beforeAutospacing="0" w:after="0" w:afterAutospacing="0"/>
              <w:jc w:val="center"/>
            </w:pPr>
            <w:r>
              <w:rPr>
                <w:rFonts w:ascii="Arial" w:hAnsi="Arial" w:cs="Arial"/>
                <w:color w:val="000000"/>
                <w:sz w:val="20"/>
                <w:szCs w:val="20"/>
              </w:rPr>
              <w:t>334 (0,14%)</w:t>
            </w:r>
          </w:p>
        </w:tc>
      </w:tr>
      <w:tr w:rsidR="00A029FC" w14:paraId="264A2029" w14:textId="77777777" w:rsidTr="00A029FC">
        <w:trPr>
          <w:trHeight w:val="315"/>
        </w:trPr>
        <w:tc>
          <w:tcPr>
            <w:tcW w:w="0" w:type="auto"/>
            <w:tcMar>
              <w:top w:w="40" w:type="dxa"/>
              <w:left w:w="40" w:type="dxa"/>
              <w:bottom w:w="40" w:type="dxa"/>
              <w:right w:w="40" w:type="dxa"/>
            </w:tcMar>
            <w:vAlign w:val="bottom"/>
            <w:hideMark/>
          </w:tcPr>
          <w:p w14:paraId="61FE1590" w14:textId="77777777" w:rsidR="00A029FC" w:rsidRDefault="00A029FC">
            <w:pPr>
              <w:pStyle w:val="NormalWeb"/>
              <w:spacing w:before="0" w:beforeAutospacing="0" w:after="0" w:afterAutospacing="0"/>
              <w:jc w:val="center"/>
            </w:pPr>
            <w:r>
              <w:rPr>
                <w:rFonts w:ascii="Arial" w:hAnsi="Arial" w:cs="Arial"/>
                <w:color w:val="000000"/>
                <w:sz w:val="20"/>
                <w:szCs w:val="20"/>
              </w:rPr>
              <w:t>10 a 19 anos</w:t>
            </w:r>
          </w:p>
        </w:tc>
        <w:tc>
          <w:tcPr>
            <w:tcW w:w="0" w:type="auto"/>
            <w:tcMar>
              <w:top w:w="40" w:type="dxa"/>
              <w:left w:w="40" w:type="dxa"/>
              <w:bottom w:w="40" w:type="dxa"/>
              <w:right w:w="40" w:type="dxa"/>
            </w:tcMar>
            <w:vAlign w:val="bottom"/>
            <w:hideMark/>
          </w:tcPr>
          <w:p w14:paraId="6B8E2284" w14:textId="77777777" w:rsidR="00A029FC" w:rsidRDefault="00A029FC">
            <w:pPr>
              <w:pStyle w:val="NormalWeb"/>
              <w:spacing w:before="0" w:beforeAutospacing="0" w:after="0" w:afterAutospacing="0"/>
              <w:jc w:val="center"/>
            </w:pPr>
            <w:r>
              <w:rPr>
                <w:rFonts w:ascii="Arial" w:hAnsi="Arial" w:cs="Arial"/>
                <w:color w:val="000000"/>
                <w:sz w:val="20"/>
                <w:szCs w:val="20"/>
              </w:rPr>
              <w:t>146 (1,15%)</w:t>
            </w:r>
          </w:p>
        </w:tc>
        <w:tc>
          <w:tcPr>
            <w:tcW w:w="0" w:type="auto"/>
            <w:tcMar>
              <w:top w:w="40" w:type="dxa"/>
              <w:left w:w="40" w:type="dxa"/>
              <w:bottom w:w="40" w:type="dxa"/>
              <w:right w:w="40" w:type="dxa"/>
            </w:tcMar>
            <w:vAlign w:val="bottom"/>
            <w:hideMark/>
          </w:tcPr>
          <w:p w14:paraId="46CF1472" w14:textId="77777777" w:rsidR="00A029FC" w:rsidRDefault="00A029FC">
            <w:pPr>
              <w:pStyle w:val="NormalWeb"/>
              <w:spacing w:before="0" w:beforeAutospacing="0" w:after="0" w:afterAutospacing="0"/>
              <w:jc w:val="center"/>
            </w:pPr>
            <w:r>
              <w:rPr>
                <w:rFonts w:ascii="Arial" w:hAnsi="Arial" w:cs="Arial"/>
                <w:color w:val="000000"/>
                <w:sz w:val="20"/>
                <w:szCs w:val="20"/>
              </w:rPr>
              <w:t>439 (0,66%)</w:t>
            </w:r>
          </w:p>
        </w:tc>
        <w:tc>
          <w:tcPr>
            <w:tcW w:w="0" w:type="auto"/>
            <w:tcMar>
              <w:top w:w="40" w:type="dxa"/>
              <w:left w:w="40" w:type="dxa"/>
              <w:bottom w:w="40" w:type="dxa"/>
              <w:right w:w="40" w:type="dxa"/>
            </w:tcMar>
            <w:vAlign w:val="bottom"/>
            <w:hideMark/>
          </w:tcPr>
          <w:p w14:paraId="115021DF" w14:textId="77777777" w:rsidR="00A029FC" w:rsidRDefault="00A029FC">
            <w:pPr>
              <w:pStyle w:val="NormalWeb"/>
              <w:spacing w:before="0" w:beforeAutospacing="0" w:after="0" w:afterAutospacing="0"/>
              <w:jc w:val="center"/>
            </w:pPr>
            <w:r>
              <w:rPr>
                <w:rFonts w:ascii="Arial" w:hAnsi="Arial" w:cs="Arial"/>
                <w:color w:val="000000"/>
                <w:sz w:val="20"/>
                <w:szCs w:val="20"/>
              </w:rPr>
              <w:t>559 (0,50%)</w:t>
            </w:r>
          </w:p>
        </w:tc>
        <w:tc>
          <w:tcPr>
            <w:tcW w:w="0" w:type="auto"/>
            <w:tcMar>
              <w:top w:w="40" w:type="dxa"/>
              <w:left w:w="40" w:type="dxa"/>
              <w:bottom w:w="40" w:type="dxa"/>
              <w:right w:w="40" w:type="dxa"/>
            </w:tcMar>
            <w:vAlign w:val="bottom"/>
            <w:hideMark/>
          </w:tcPr>
          <w:p w14:paraId="4A30344A" w14:textId="77777777" w:rsidR="00A029FC" w:rsidRDefault="00A029FC">
            <w:pPr>
              <w:pStyle w:val="NormalWeb"/>
              <w:spacing w:before="0" w:beforeAutospacing="0" w:after="0" w:afterAutospacing="0"/>
              <w:jc w:val="center"/>
            </w:pPr>
            <w:r>
              <w:rPr>
                <w:rFonts w:ascii="Arial" w:hAnsi="Arial" w:cs="Arial"/>
                <w:color w:val="000000"/>
                <w:sz w:val="20"/>
                <w:szCs w:val="20"/>
              </w:rPr>
              <w:t>159 (0,51%)</w:t>
            </w:r>
          </w:p>
        </w:tc>
        <w:tc>
          <w:tcPr>
            <w:tcW w:w="0" w:type="auto"/>
            <w:tcMar>
              <w:top w:w="40" w:type="dxa"/>
              <w:left w:w="40" w:type="dxa"/>
              <w:bottom w:w="40" w:type="dxa"/>
              <w:right w:w="40" w:type="dxa"/>
            </w:tcMar>
            <w:vAlign w:val="bottom"/>
            <w:hideMark/>
          </w:tcPr>
          <w:p w14:paraId="3652D147" w14:textId="77777777" w:rsidR="00A029FC" w:rsidRDefault="00A029FC">
            <w:pPr>
              <w:pStyle w:val="NormalWeb"/>
              <w:spacing w:before="0" w:beforeAutospacing="0" w:after="0" w:afterAutospacing="0"/>
              <w:jc w:val="center"/>
            </w:pPr>
            <w:r>
              <w:rPr>
                <w:rFonts w:ascii="Arial" w:hAnsi="Arial" w:cs="Arial"/>
                <w:color w:val="000000"/>
                <w:sz w:val="20"/>
                <w:szCs w:val="20"/>
              </w:rPr>
              <w:t>97 (0,79%)</w:t>
            </w:r>
          </w:p>
        </w:tc>
        <w:tc>
          <w:tcPr>
            <w:tcW w:w="0" w:type="auto"/>
            <w:tcMar>
              <w:top w:w="40" w:type="dxa"/>
              <w:left w:w="40" w:type="dxa"/>
              <w:bottom w:w="40" w:type="dxa"/>
              <w:right w:w="40" w:type="dxa"/>
            </w:tcMar>
            <w:vAlign w:val="bottom"/>
            <w:hideMark/>
          </w:tcPr>
          <w:p w14:paraId="223354D4" w14:textId="77777777" w:rsidR="00A029FC" w:rsidRDefault="00A029FC">
            <w:pPr>
              <w:pStyle w:val="NormalWeb"/>
              <w:spacing w:before="0" w:beforeAutospacing="0" w:after="0" w:afterAutospacing="0"/>
              <w:jc w:val="center"/>
            </w:pPr>
            <w:r>
              <w:rPr>
                <w:rFonts w:ascii="Arial" w:hAnsi="Arial" w:cs="Arial"/>
                <w:color w:val="000000"/>
                <w:sz w:val="20"/>
                <w:szCs w:val="20"/>
              </w:rPr>
              <w:t>1400 (0,60%)</w:t>
            </w:r>
          </w:p>
        </w:tc>
      </w:tr>
      <w:tr w:rsidR="00A029FC" w14:paraId="4626276F" w14:textId="77777777" w:rsidTr="00A029FC">
        <w:trPr>
          <w:trHeight w:val="510"/>
        </w:trPr>
        <w:tc>
          <w:tcPr>
            <w:tcW w:w="0" w:type="auto"/>
            <w:tcMar>
              <w:top w:w="40" w:type="dxa"/>
              <w:left w:w="40" w:type="dxa"/>
              <w:bottom w:w="40" w:type="dxa"/>
              <w:right w:w="40" w:type="dxa"/>
            </w:tcMar>
            <w:vAlign w:val="bottom"/>
            <w:hideMark/>
          </w:tcPr>
          <w:p w14:paraId="04C081E4" w14:textId="77777777" w:rsidR="00A029FC" w:rsidRDefault="00A029FC">
            <w:pPr>
              <w:pStyle w:val="NormalWeb"/>
              <w:spacing w:before="0" w:beforeAutospacing="0" w:after="0" w:afterAutospacing="0"/>
              <w:jc w:val="center"/>
            </w:pPr>
            <w:r>
              <w:rPr>
                <w:rFonts w:ascii="Arial" w:hAnsi="Arial" w:cs="Arial"/>
                <w:color w:val="000000"/>
                <w:sz w:val="20"/>
                <w:szCs w:val="20"/>
              </w:rPr>
              <w:t>20 a 59 anos</w:t>
            </w:r>
          </w:p>
        </w:tc>
        <w:tc>
          <w:tcPr>
            <w:tcW w:w="0" w:type="auto"/>
            <w:tcMar>
              <w:top w:w="40" w:type="dxa"/>
              <w:left w:w="40" w:type="dxa"/>
              <w:bottom w:w="40" w:type="dxa"/>
              <w:right w:w="40" w:type="dxa"/>
            </w:tcMar>
            <w:vAlign w:val="bottom"/>
            <w:hideMark/>
          </w:tcPr>
          <w:p w14:paraId="6843B5C2" w14:textId="77777777" w:rsidR="00A029FC" w:rsidRDefault="00A029FC">
            <w:pPr>
              <w:pStyle w:val="NormalWeb"/>
              <w:spacing w:before="0" w:beforeAutospacing="0" w:after="0" w:afterAutospacing="0"/>
              <w:jc w:val="center"/>
            </w:pPr>
            <w:r>
              <w:rPr>
                <w:rFonts w:ascii="Arial" w:hAnsi="Arial" w:cs="Arial"/>
                <w:color w:val="000000"/>
                <w:sz w:val="20"/>
                <w:szCs w:val="20"/>
              </w:rPr>
              <w:t>3218 (25,44%)</w:t>
            </w:r>
          </w:p>
        </w:tc>
        <w:tc>
          <w:tcPr>
            <w:tcW w:w="0" w:type="auto"/>
            <w:tcMar>
              <w:top w:w="40" w:type="dxa"/>
              <w:left w:w="40" w:type="dxa"/>
              <w:bottom w:w="40" w:type="dxa"/>
              <w:right w:w="40" w:type="dxa"/>
            </w:tcMar>
            <w:vAlign w:val="bottom"/>
            <w:hideMark/>
          </w:tcPr>
          <w:p w14:paraId="08A0BA95" w14:textId="77777777" w:rsidR="00A029FC" w:rsidRDefault="00A029FC">
            <w:pPr>
              <w:pStyle w:val="NormalWeb"/>
              <w:spacing w:before="0" w:beforeAutospacing="0" w:after="0" w:afterAutospacing="0"/>
              <w:jc w:val="center"/>
            </w:pPr>
            <w:r>
              <w:rPr>
                <w:rFonts w:ascii="Arial" w:hAnsi="Arial" w:cs="Arial"/>
                <w:color w:val="000000"/>
                <w:sz w:val="20"/>
                <w:szCs w:val="20"/>
              </w:rPr>
              <w:t>15849 (23,99%)</w:t>
            </w:r>
          </w:p>
        </w:tc>
        <w:tc>
          <w:tcPr>
            <w:tcW w:w="0" w:type="auto"/>
            <w:tcMar>
              <w:top w:w="40" w:type="dxa"/>
              <w:left w:w="40" w:type="dxa"/>
              <w:bottom w:w="40" w:type="dxa"/>
              <w:right w:w="40" w:type="dxa"/>
            </w:tcMar>
            <w:vAlign w:val="bottom"/>
            <w:hideMark/>
          </w:tcPr>
          <w:p w14:paraId="19229736" w14:textId="77777777" w:rsidR="00A029FC" w:rsidRDefault="00A029FC">
            <w:pPr>
              <w:pStyle w:val="NormalWeb"/>
              <w:spacing w:before="0" w:beforeAutospacing="0" w:after="0" w:afterAutospacing="0"/>
              <w:jc w:val="center"/>
            </w:pPr>
            <w:r>
              <w:rPr>
                <w:rFonts w:ascii="Arial" w:hAnsi="Arial" w:cs="Arial"/>
                <w:color w:val="000000"/>
                <w:sz w:val="20"/>
                <w:szCs w:val="20"/>
              </w:rPr>
              <w:t>26009 (23,35%)</w:t>
            </w:r>
          </w:p>
        </w:tc>
        <w:tc>
          <w:tcPr>
            <w:tcW w:w="0" w:type="auto"/>
            <w:tcMar>
              <w:top w:w="40" w:type="dxa"/>
              <w:left w:w="40" w:type="dxa"/>
              <w:bottom w:w="40" w:type="dxa"/>
              <w:right w:w="40" w:type="dxa"/>
            </w:tcMar>
            <w:vAlign w:val="bottom"/>
            <w:hideMark/>
          </w:tcPr>
          <w:p w14:paraId="5F0FA51E" w14:textId="77777777" w:rsidR="00A029FC" w:rsidRDefault="00A029FC">
            <w:pPr>
              <w:pStyle w:val="NormalWeb"/>
              <w:spacing w:before="0" w:beforeAutospacing="0" w:after="0" w:afterAutospacing="0"/>
              <w:jc w:val="center"/>
            </w:pPr>
            <w:r>
              <w:rPr>
                <w:rFonts w:ascii="Arial" w:hAnsi="Arial" w:cs="Arial"/>
                <w:color w:val="000000"/>
                <w:sz w:val="20"/>
                <w:szCs w:val="20"/>
              </w:rPr>
              <w:t>6709 (21,42%)</w:t>
            </w:r>
          </w:p>
        </w:tc>
        <w:tc>
          <w:tcPr>
            <w:tcW w:w="0" w:type="auto"/>
            <w:tcMar>
              <w:top w:w="40" w:type="dxa"/>
              <w:left w:w="40" w:type="dxa"/>
              <w:bottom w:w="40" w:type="dxa"/>
              <w:right w:w="40" w:type="dxa"/>
            </w:tcMar>
            <w:vAlign w:val="bottom"/>
            <w:hideMark/>
          </w:tcPr>
          <w:p w14:paraId="763E5A12" w14:textId="77777777" w:rsidR="00A029FC" w:rsidRDefault="00A029FC">
            <w:pPr>
              <w:pStyle w:val="NormalWeb"/>
              <w:spacing w:before="0" w:beforeAutospacing="0" w:after="0" w:afterAutospacing="0"/>
              <w:jc w:val="center"/>
            </w:pPr>
            <w:r>
              <w:rPr>
                <w:rFonts w:ascii="Arial" w:hAnsi="Arial" w:cs="Arial"/>
                <w:color w:val="000000"/>
                <w:sz w:val="20"/>
                <w:szCs w:val="20"/>
              </w:rPr>
              <w:t>3172 (25,90%)</w:t>
            </w:r>
          </w:p>
        </w:tc>
        <w:tc>
          <w:tcPr>
            <w:tcW w:w="0" w:type="auto"/>
            <w:tcMar>
              <w:top w:w="40" w:type="dxa"/>
              <w:left w:w="40" w:type="dxa"/>
              <w:bottom w:w="40" w:type="dxa"/>
              <w:right w:w="40" w:type="dxa"/>
            </w:tcMar>
            <w:vAlign w:val="bottom"/>
            <w:hideMark/>
          </w:tcPr>
          <w:p w14:paraId="51124D23" w14:textId="77777777" w:rsidR="00A029FC" w:rsidRDefault="00A029FC">
            <w:pPr>
              <w:pStyle w:val="NormalWeb"/>
              <w:spacing w:before="0" w:beforeAutospacing="0" w:after="0" w:afterAutospacing="0"/>
              <w:jc w:val="center"/>
            </w:pPr>
            <w:r>
              <w:rPr>
                <w:rFonts w:ascii="Arial" w:hAnsi="Arial" w:cs="Arial"/>
                <w:color w:val="000000"/>
                <w:sz w:val="20"/>
                <w:szCs w:val="20"/>
              </w:rPr>
              <w:t>54957 (23,52%)</w:t>
            </w:r>
          </w:p>
        </w:tc>
      </w:tr>
      <w:tr w:rsidR="00A029FC" w14:paraId="411FBBB2" w14:textId="77777777" w:rsidTr="00A029FC">
        <w:trPr>
          <w:trHeight w:val="525"/>
        </w:trPr>
        <w:tc>
          <w:tcPr>
            <w:tcW w:w="0" w:type="auto"/>
            <w:tcBorders>
              <w:bottom w:val="single" w:sz="6" w:space="0" w:color="000000"/>
            </w:tcBorders>
            <w:tcMar>
              <w:top w:w="40" w:type="dxa"/>
              <w:left w:w="40" w:type="dxa"/>
              <w:bottom w:w="40" w:type="dxa"/>
              <w:right w:w="40" w:type="dxa"/>
            </w:tcMar>
            <w:vAlign w:val="bottom"/>
            <w:hideMark/>
          </w:tcPr>
          <w:p w14:paraId="40C3A07F" w14:textId="77777777" w:rsidR="00A029FC" w:rsidRDefault="00A029FC">
            <w:pPr>
              <w:pStyle w:val="NormalWeb"/>
              <w:spacing w:before="0" w:beforeAutospacing="0" w:after="0" w:afterAutospacing="0"/>
              <w:jc w:val="center"/>
            </w:pPr>
            <w:r>
              <w:rPr>
                <w:rFonts w:ascii="Arial" w:hAnsi="Arial" w:cs="Arial"/>
                <w:color w:val="000000"/>
                <w:sz w:val="20"/>
                <w:szCs w:val="20"/>
              </w:rPr>
              <w:lastRenderedPageBreak/>
              <w:t>60 anos ou mais</w:t>
            </w:r>
          </w:p>
        </w:tc>
        <w:tc>
          <w:tcPr>
            <w:tcW w:w="0" w:type="auto"/>
            <w:tcBorders>
              <w:bottom w:val="single" w:sz="6" w:space="0" w:color="000000"/>
            </w:tcBorders>
            <w:tcMar>
              <w:top w:w="40" w:type="dxa"/>
              <w:left w:w="40" w:type="dxa"/>
              <w:bottom w:w="40" w:type="dxa"/>
              <w:right w:w="40" w:type="dxa"/>
            </w:tcMar>
            <w:vAlign w:val="bottom"/>
            <w:hideMark/>
          </w:tcPr>
          <w:p w14:paraId="2BF0F371" w14:textId="77777777" w:rsidR="00A029FC" w:rsidRDefault="00A029FC">
            <w:pPr>
              <w:pStyle w:val="NormalWeb"/>
              <w:spacing w:before="0" w:beforeAutospacing="0" w:after="0" w:afterAutospacing="0"/>
              <w:jc w:val="center"/>
            </w:pPr>
            <w:r>
              <w:rPr>
                <w:rFonts w:ascii="Arial" w:hAnsi="Arial" w:cs="Arial"/>
                <w:color w:val="000000"/>
                <w:sz w:val="20"/>
                <w:szCs w:val="20"/>
              </w:rPr>
              <w:t>8707 (68,83%)</w:t>
            </w:r>
          </w:p>
        </w:tc>
        <w:tc>
          <w:tcPr>
            <w:tcW w:w="0" w:type="auto"/>
            <w:tcBorders>
              <w:bottom w:val="single" w:sz="6" w:space="0" w:color="000000"/>
            </w:tcBorders>
            <w:tcMar>
              <w:top w:w="40" w:type="dxa"/>
              <w:left w:w="40" w:type="dxa"/>
              <w:bottom w:w="40" w:type="dxa"/>
              <w:right w:w="40" w:type="dxa"/>
            </w:tcMar>
            <w:vAlign w:val="bottom"/>
            <w:hideMark/>
          </w:tcPr>
          <w:p w14:paraId="55B7FE95" w14:textId="77777777" w:rsidR="00A029FC" w:rsidRDefault="00A029FC">
            <w:pPr>
              <w:pStyle w:val="NormalWeb"/>
              <w:spacing w:before="0" w:beforeAutospacing="0" w:after="0" w:afterAutospacing="0"/>
              <w:jc w:val="center"/>
            </w:pPr>
            <w:r>
              <w:rPr>
                <w:rFonts w:ascii="Arial" w:hAnsi="Arial" w:cs="Arial"/>
                <w:color w:val="000000"/>
                <w:sz w:val="20"/>
                <w:szCs w:val="20"/>
              </w:rPr>
              <w:t>48557 (73,50%)</w:t>
            </w:r>
          </w:p>
        </w:tc>
        <w:tc>
          <w:tcPr>
            <w:tcW w:w="0" w:type="auto"/>
            <w:tcBorders>
              <w:bottom w:val="single" w:sz="6" w:space="0" w:color="000000"/>
            </w:tcBorders>
            <w:tcMar>
              <w:top w:w="40" w:type="dxa"/>
              <w:left w:w="40" w:type="dxa"/>
              <w:bottom w:w="40" w:type="dxa"/>
              <w:right w:w="40" w:type="dxa"/>
            </w:tcMar>
            <w:vAlign w:val="bottom"/>
            <w:hideMark/>
          </w:tcPr>
          <w:p w14:paraId="0EAE6D61" w14:textId="77777777" w:rsidR="00A029FC" w:rsidRDefault="00A029FC">
            <w:pPr>
              <w:pStyle w:val="NormalWeb"/>
              <w:spacing w:before="0" w:beforeAutospacing="0" w:after="0" w:afterAutospacing="0"/>
              <w:jc w:val="center"/>
            </w:pPr>
            <w:r>
              <w:rPr>
                <w:rFonts w:ascii="Arial" w:hAnsi="Arial" w:cs="Arial"/>
                <w:color w:val="000000"/>
                <w:sz w:val="20"/>
                <w:szCs w:val="20"/>
              </w:rPr>
              <w:t>83954 (75,37%)</w:t>
            </w:r>
          </w:p>
        </w:tc>
        <w:tc>
          <w:tcPr>
            <w:tcW w:w="0" w:type="auto"/>
            <w:tcBorders>
              <w:bottom w:val="single" w:sz="6" w:space="0" w:color="000000"/>
            </w:tcBorders>
            <w:tcMar>
              <w:top w:w="40" w:type="dxa"/>
              <w:left w:w="40" w:type="dxa"/>
              <w:bottom w:w="40" w:type="dxa"/>
              <w:right w:w="40" w:type="dxa"/>
            </w:tcMar>
            <w:vAlign w:val="bottom"/>
            <w:hideMark/>
          </w:tcPr>
          <w:p w14:paraId="54A6CE25" w14:textId="77777777" w:rsidR="00A029FC" w:rsidRDefault="00A029FC">
            <w:pPr>
              <w:pStyle w:val="NormalWeb"/>
              <w:spacing w:before="0" w:beforeAutospacing="0" w:after="0" w:afterAutospacing="0"/>
              <w:jc w:val="center"/>
            </w:pPr>
            <w:r>
              <w:rPr>
                <w:rFonts w:ascii="Arial" w:hAnsi="Arial" w:cs="Arial"/>
                <w:color w:val="000000"/>
                <w:sz w:val="20"/>
                <w:szCs w:val="20"/>
              </w:rPr>
              <w:t>24190 (77,22%)</w:t>
            </w:r>
          </w:p>
        </w:tc>
        <w:tc>
          <w:tcPr>
            <w:tcW w:w="0" w:type="auto"/>
            <w:tcBorders>
              <w:bottom w:val="single" w:sz="6" w:space="0" w:color="000000"/>
            </w:tcBorders>
            <w:tcMar>
              <w:top w:w="40" w:type="dxa"/>
              <w:left w:w="40" w:type="dxa"/>
              <w:bottom w:w="40" w:type="dxa"/>
              <w:right w:w="40" w:type="dxa"/>
            </w:tcMar>
            <w:vAlign w:val="bottom"/>
            <w:hideMark/>
          </w:tcPr>
          <w:p w14:paraId="1E3F4C37" w14:textId="77777777" w:rsidR="00A029FC" w:rsidRDefault="00A029FC">
            <w:pPr>
              <w:pStyle w:val="NormalWeb"/>
              <w:spacing w:before="0" w:beforeAutospacing="0" w:after="0" w:afterAutospacing="0"/>
              <w:jc w:val="center"/>
            </w:pPr>
            <w:r>
              <w:rPr>
                <w:rFonts w:ascii="Arial" w:hAnsi="Arial" w:cs="Arial"/>
                <w:color w:val="000000"/>
                <w:sz w:val="20"/>
                <w:szCs w:val="20"/>
              </w:rPr>
              <w:t>8663 (70,75%)</w:t>
            </w:r>
          </w:p>
        </w:tc>
        <w:tc>
          <w:tcPr>
            <w:tcW w:w="0" w:type="auto"/>
            <w:tcBorders>
              <w:bottom w:val="single" w:sz="6" w:space="0" w:color="000000"/>
            </w:tcBorders>
            <w:tcMar>
              <w:top w:w="40" w:type="dxa"/>
              <w:left w:w="40" w:type="dxa"/>
              <w:bottom w:w="40" w:type="dxa"/>
              <w:right w:w="40" w:type="dxa"/>
            </w:tcMar>
            <w:vAlign w:val="bottom"/>
            <w:hideMark/>
          </w:tcPr>
          <w:p w14:paraId="7D5BAD99" w14:textId="77777777" w:rsidR="00A029FC" w:rsidRDefault="00A029FC">
            <w:pPr>
              <w:pStyle w:val="NormalWeb"/>
              <w:spacing w:before="0" w:beforeAutospacing="0" w:after="0" w:afterAutospacing="0"/>
              <w:jc w:val="center"/>
            </w:pPr>
            <w:r>
              <w:rPr>
                <w:rFonts w:ascii="Arial" w:hAnsi="Arial" w:cs="Arial"/>
                <w:color w:val="000000"/>
                <w:sz w:val="20"/>
                <w:szCs w:val="20"/>
              </w:rPr>
              <w:t>174071 (74,49%)</w:t>
            </w:r>
          </w:p>
        </w:tc>
      </w:tr>
    </w:tbl>
    <w:p w14:paraId="797071E7" w14:textId="7044E12B" w:rsidR="00A029FC" w:rsidRDefault="00A029FC" w:rsidP="00A029FC">
      <w:pPr>
        <w:pStyle w:val="NormalWeb"/>
        <w:spacing w:before="240" w:beforeAutospacing="0" w:after="240" w:afterAutospacing="0"/>
        <w:ind w:firstLine="720"/>
        <w:jc w:val="both"/>
      </w:pPr>
      <w:r>
        <w:rPr>
          <w:rFonts w:ascii="Arial" w:hAnsi="Arial" w:cs="Arial"/>
          <w:color w:val="000000"/>
          <w:shd w:val="clear" w:color="auto" w:fill="FFFFFF"/>
        </w:rPr>
        <w:t xml:space="preserve">Em relação ao sexo (Tabela 4), </w:t>
      </w:r>
      <w:r w:rsidR="005A1116">
        <w:rPr>
          <w:rFonts w:ascii="Arial" w:hAnsi="Arial" w:cs="Arial"/>
          <w:color w:val="000000"/>
          <w:shd w:val="clear" w:color="auto" w:fill="FFFFFF"/>
        </w:rPr>
        <w:t>observa-se</w:t>
      </w:r>
      <w:r>
        <w:rPr>
          <w:rFonts w:ascii="Arial" w:hAnsi="Arial" w:cs="Arial"/>
          <w:color w:val="000000"/>
          <w:shd w:val="clear" w:color="auto" w:fill="FFFFFF"/>
        </w:rPr>
        <w:t xml:space="preserve"> ligeira predominância de óbitos no sexo masculino, com 119.026 notificações (50,94%), em comparação com 114.643 no sexo feminino (49,06%).</w:t>
      </w:r>
    </w:p>
    <w:p w14:paraId="69CEADBE" w14:textId="6E35B615" w:rsidR="00A029FC" w:rsidRDefault="00614DBC" w:rsidP="00A029FC">
      <w:pPr>
        <w:pStyle w:val="NormalWeb"/>
        <w:spacing w:before="240" w:beforeAutospacing="0" w:after="240" w:afterAutospacing="0"/>
        <w:jc w:val="both"/>
      </w:pPr>
      <w:r>
        <w:rPr>
          <w:rFonts w:ascii="Arial" w:hAnsi="Arial" w:cs="Arial"/>
          <w:b/>
          <w:bCs/>
          <w:color w:val="000000"/>
          <w:shd w:val="clear" w:color="auto" w:fill="FFFFFF"/>
        </w:rPr>
        <w:t xml:space="preserve">Tabela 4. </w:t>
      </w:r>
      <w:r w:rsidR="00A029FC">
        <w:rPr>
          <w:rFonts w:ascii="Arial" w:hAnsi="Arial" w:cs="Arial"/>
          <w:color w:val="000000"/>
          <w:shd w:val="clear" w:color="auto" w:fill="FFFFFF"/>
        </w:rPr>
        <w:t>Distribuição dos Óbitos por Sexo ou Gênero nas Regiões do Brasil.</w:t>
      </w:r>
    </w:p>
    <w:tbl>
      <w:tblPr>
        <w:tblW w:w="0" w:type="auto"/>
        <w:tblCellMar>
          <w:top w:w="15" w:type="dxa"/>
          <w:left w:w="15" w:type="dxa"/>
          <w:bottom w:w="15" w:type="dxa"/>
          <w:right w:w="15" w:type="dxa"/>
        </w:tblCellMar>
        <w:tblLook w:val="04A0" w:firstRow="1" w:lastRow="0" w:firstColumn="1" w:lastColumn="0" w:noHBand="0" w:noVBand="1"/>
      </w:tblPr>
      <w:tblGrid>
        <w:gridCol w:w="1301"/>
        <w:gridCol w:w="1111"/>
        <w:gridCol w:w="1742"/>
        <w:gridCol w:w="1230"/>
        <w:gridCol w:w="1160"/>
        <w:gridCol w:w="1886"/>
        <w:gridCol w:w="1208"/>
      </w:tblGrid>
      <w:tr w:rsidR="00A029FC" w14:paraId="638F6260" w14:textId="77777777" w:rsidTr="00A029FC">
        <w:trPr>
          <w:trHeight w:val="765"/>
        </w:trPr>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38EC318F" w14:textId="77777777" w:rsidR="00A029FC" w:rsidRDefault="00A029FC">
            <w:pPr>
              <w:pStyle w:val="NormalWeb"/>
              <w:spacing w:before="0" w:beforeAutospacing="0" w:after="0" w:afterAutospacing="0"/>
              <w:jc w:val="center"/>
            </w:pPr>
            <w:r>
              <w:rPr>
                <w:rFonts w:ascii="Arial" w:hAnsi="Arial" w:cs="Arial"/>
                <w:b/>
                <w:bCs/>
                <w:color w:val="000000"/>
                <w:sz w:val="20"/>
                <w:szCs w:val="20"/>
              </w:rPr>
              <w:t>Sexo ou Gênero</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58360521"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Norte </w:t>
            </w:r>
          </w:p>
          <w:p w14:paraId="2B6F9616" w14:textId="77777777" w:rsidR="00A029FC" w:rsidRDefault="00A029FC">
            <w:pPr>
              <w:pStyle w:val="NormalWeb"/>
              <w:spacing w:before="0" w:beforeAutospacing="0" w:after="0" w:afterAutospacing="0"/>
              <w:jc w:val="center"/>
            </w:pPr>
            <w:r>
              <w:rPr>
                <w:rFonts w:ascii="Arial" w:hAnsi="Arial" w:cs="Arial"/>
                <w:b/>
                <w:bCs/>
                <w:color w:val="000000"/>
                <w:sz w:val="20"/>
                <w:szCs w:val="20"/>
              </w:rPr>
              <w:t>(n = 12650)</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72DD8E53"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Nordeste (n = 66062)</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38A9F92B"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Sudeste </w:t>
            </w:r>
          </w:p>
          <w:p w14:paraId="6BC8B990" w14:textId="77777777" w:rsidR="00A029FC" w:rsidRDefault="00A029FC">
            <w:pPr>
              <w:pStyle w:val="NormalWeb"/>
              <w:spacing w:before="0" w:beforeAutospacing="0" w:after="0" w:afterAutospacing="0"/>
              <w:jc w:val="center"/>
            </w:pPr>
            <w:r>
              <w:rPr>
                <w:rFonts w:ascii="Arial" w:hAnsi="Arial" w:cs="Arial"/>
                <w:b/>
                <w:bCs/>
                <w:color w:val="000000"/>
                <w:sz w:val="20"/>
                <w:szCs w:val="20"/>
              </w:rPr>
              <w:t>(n = 111387)</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0E83CC71"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w:t>
            </w:r>
          </w:p>
          <w:p w14:paraId="7146B9BA" w14:textId="77777777" w:rsidR="00A029FC" w:rsidRDefault="00A029FC">
            <w:pPr>
              <w:pStyle w:val="NormalWeb"/>
              <w:spacing w:before="0" w:beforeAutospacing="0" w:after="0" w:afterAutospacing="0"/>
              <w:jc w:val="center"/>
            </w:pPr>
            <w:r>
              <w:rPr>
                <w:rFonts w:ascii="Arial" w:hAnsi="Arial" w:cs="Arial"/>
                <w:b/>
                <w:bCs/>
                <w:color w:val="000000"/>
                <w:sz w:val="20"/>
                <w:szCs w:val="20"/>
              </w:rPr>
              <w:t>Sul </w:t>
            </w:r>
          </w:p>
          <w:p w14:paraId="41501AFE" w14:textId="77777777" w:rsidR="00A029FC" w:rsidRDefault="00A029FC">
            <w:pPr>
              <w:pStyle w:val="NormalWeb"/>
              <w:spacing w:before="0" w:beforeAutospacing="0" w:after="0" w:afterAutospacing="0"/>
              <w:jc w:val="center"/>
            </w:pPr>
            <w:r>
              <w:rPr>
                <w:rFonts w:ascii="Arial" w:hAnsi="Arial" w:cs="Arial"/>
                <w:b/>
                <w:bCs/>
                <w:color w:val="000000"/>
                <w:sz w:val="20"/>
                <w:szCs w:val="20"/>
              </w:rPr>
              <w:t>(n = 31325)</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39285705"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Centro-Oeste (n = 12245)</w:t>
            </w:r>
          </w:p>
        </w:tc>
        <w:tc>
          <w:tcPr>
            <w:tcW w:w="0" w:type="auto"/>
            <w:tcBorders>
              <w:top w:val="single" w:sz="6" w:space="0" w:color="000000"/>
              <w:bottom w:val="single" w:sz="6" w:space="0" w:color="000000"/>
            </w:tcBorders>
            <w:tcMar>
              <w:top w:w="40" w:type="dxa"/>
              <w:left w:w="0" w:type="dxa"/>
              <w:bottom w:w="40" w:type="dxa"/>
              <w:right w:w="0" w:type="dxa"/>
            </w:tcMar>
            <w:vAlign w:val="center"/>
            <w:hideMark/>
          </w:tcPr>
          <w:p w14:paraId="5B9F1F00" w14:textId="77777777" w:rsidR="00A029FC" w:rsidRDefault="00A029FC">
            <w:pPr>
              <w:pStyle w:val="NormalWeb"/>
              <w:spacing w:before="0" w:beforeAutospacing="0" w:after="0" w:afterAutospacing="0"/>
              <w:ind w:left="-9360" w:right="-9360"/>
              <w:jc w:val="center"/>
            </w:pPr>
            <w:r>
              <w:rPr>
                <w:rFonts w:ascii="Arial" w:hAnsi="Arial" w:cs="Arial"/>
                <w:b/>
                <w:bCs/>
                <w:color w:val="000000"/>
                <w:sz w:val="20"/>
                <w:szCs w:val="20"/>
              </w:rPr>
              <w:t>Total </w:t>
            </w:r>
          </w:p>
          <w:p w14:paraId="02752815" w14:textId="77777777" w:rsidR="00A029FC" w:rsidRDefault="00A029FC">
            <w:pPr>
              <w:pStyle w:val="NormalWeb"/>
              <w:spacing w:before="0" w:beforeAutospacing="0" w:after="0" w:afterAutospacing="0"/>
              <w:ind w:left="-9360" w:right="-9360"/>
              <w:jc w:val="center"/>
            </w:pPr>
            <w:r>
              <w:rPr>
                <w:rFonts w:ascii="Arial" w:hAnsi="Arial" w:cs="Arial"/>
                <w:b/>
                <w:bCs/>
                <w:color w:val="000000"/>
                <w:sz w:val="20"/>
                <w:szCs w:val="20"/>
              </w:rPr>
              <w:t>(n = 233669)</w:t>
            </w:r>
          </w:p>
        </w:tc>
      </w:tr>
      <w:tr w:rsidR="00A029FC" w14:paraId="4653DC6A" w14:textId="77777777" w:rsidTr="00A029FC">
        <w:trPr>
          <w:trHeight w:val="510"/>
        </w:trPr>
        <w:tc>
          <w:tcPr>
            <w:tcW w:w="0" w:type="auto"/>
            <w:tcBorders>
              <w:top w:val="single" w:sz="6" w:space="0" w:color="000000"/>
            </w:tcBorders>
            <w:tcMar>
              <w:top w:w="40" w:type="dxa"/>
              <w:left w:w="40" w:type="dxa"/>
              <w:bottom w:w="40" w:type="dxa"/>
              <w:right w:w="40" w:type="dxa"/>
            </w:tcMar>
            <w:vAlign w:val="center"/>
            <w:hideMark/>
          </w:tcPr>
          <w:p w14:paraId="0EBDF84A" w14:textId="77777777" w:rsidR="00A029FC" w:rsidRDefault="00A029FC">
            <w:pPr>
              <w:pStyle w:val="NormalWeb"/>
              <w:spacing w:before="0" w:beforeAutospacing="0" w:after="0" w:afterAutospacing="0"/>
              <w:jc w:val="center"/>
            </w:pPr>
            <w:r>
              <w:rPr>
                <w:rFonts w:ascii="Arial" w:hAnsi="Arial" w:cs="Arial"/>
                <w:b/>
                <w:bCs/>
                <w:color w:val="000000"/>
                <w:sz w:val="20"/>
                <w:szCs w:val="20"/>
              </w:rPr>
              <w:t>Masculino</w:t>
            </w:r>
          </w:p>
        </w:tc>
        <w:tc>
          <w:tcPr>
            <w:tcW w:w="0" w:type="auto"/>
            <w:tcBorders>
              <w:top w:val="single" w:sz="6" w:space="0" w:color="000000"/>
            </w:tcBorders>
            <w:tcMar>
              <w:top w:w="40" w:type="dxa"/>
              <w:left w:w="40" w:type="dxa"/>
              <w:bottom w:w="40" w:type="dxa"/>
              <w:right w:w="40" w:type="dxa"/>
            </w:tcMar>
            <w:vAlign w:val="center"/>
            <w:hideMark/>
          </w:tcPr>
          <w:p w14:paraId="28EAD938" w14:textId="77777777" w:rsidR="00A029FC" w:rsidRDefault="00A029FC">
            <w:pPr>
              <w:pStyle w:val="NormalWeb"/>
              <w:spacing w:before="0" w:beforeAutospacing="0" w:after="0" w:afterAutospacing="0"/>
              <w:jc w:val="center"/>
            </w:pPr>
            <w:r>
              <w:rPr>
                <w:rFonts w:ascii="Arial" w:hAnsi="Arial" w:cs="Arial"/>
                <w:color w:val="000000"/>
                <w:sz w:val="20"/>
                <w:szCs w:val="20"/>
              </w:rPr>
              <w:t>6325 (50,00%)</w:t>
            </w:r>
          </w:p>
        </w:tc>
        <w:tc>
          <w:tcPr>
            <w:tcW w:w="0" w:type="auto"/>
            <w:tcBorders>
              <w:top w:val="single" w:sz="6" w:space="0" w:color="000000"/>
            </w:tcBorders>
            <w:tcMar>
              <w:top w:w="40" w:type="dxa"/>
              <w:left w:w="40" w:type="dxa"/>
              <w:bottom w:w="40" w:type="dxa"/>
              <w:right w:w="40" w:type="dxa"/>
            </w:tcMar>
            <w:vAlign w:val="center"/>
            <w:hideMark/>
          </w:tcPr>
          <w:p w14:paraId="549C04DF" w14:textId="77777777" w:rsidR="00A029FC" w:rsidRDefault="00A029FC">
            <w:pPr>
              <w:pStyle w:val="NormalWeb"/>
              <w:spacing w:before="0" w:beforeAutospacing="0" w:after="0" w:afterAutospacing="0"/>
              <w:jc w:val="center"/>
            </w:pPr>
            <w:r>
              <w:rPr>
                <w:rFonts w:ascii="Arial" w:hAnsi="Arial" w:cs="Arial"/>
                <w:color w:val="000000"/>
                <w:sz w:val="20"/>
                <w:szCs w:val="20"/>
              </w:rPr>
              <w:t>32479 (49,16%)</w:t>
            </w:r>
          </w:p>
        </w:tc>
        <w:tc>
          <w:tcPr>
            <w:tcW w:w="0" w:type="auto"/>
            <w:tcBorders>
              <w:top w:val="single" w:sz="6" w:space="0" w:color="000000"/>
            </w:tcBorders>
            <w:tcMar>
              <w:top w:w="40" w:type="dxa"/>
              <w:left w:w="40" w:type="dxa"/>
              <w:bottom w:w="40" w:type="dxa"/>
              <w:right w:w="40" w:type="dxa"/>
            </w:tcMar>
            <w:vAlign w:val="center"/>
            <w:hideMark/>
          </w:tcPr>
          <w:p w14:paraId="0073BC74" w14:textId="77777777" w:rsidR="00A029FC" w:rsidRDefault="00A029FC">
            <w:pPr>
              <w:pStyle w:val="NormalWeb"/>
              <w:spacing w:before="0" w:beforeAutospacing="0" w:after="0" w:afterAutospacing="0"/>
              <w:jc w:val="center"/>
            </w:pPr>
            <w:r>
              <w:rPr>
                <w:rFonts w:ascii="Arial" w:hAnsi="Arial" w:cs="Arial"/>
                <w:color w:val="000000"/>
                <w:sz w:val="20"/>
                <w:szCs w:val="20"/>
              </w:rPr>
              <w:t>58088 (52,15%)</w:t>
            </w:r>
          </w:p>
        </w:tc>
        <w:tc>
          <w:tcPr>
            <w:tcW w:w="0" w:type="auto"/>
            <w:tcBorders>
              <w:top w:val="single" w:sz="6" w:space="0" w:color="000000"/>
            </w:tcBorders>
            <w:tcMar>
              <w:top w:w="40" w:type="dxa"/>
              <w:left w:w="40" w:type="dxa"/>
              <w:bottom w:w="40" w:type="dxa"/>
              <w:right w:w="40" w:type="dxa"/>
            </w:tcMar>
            <w:vAlign w:val="center"/>
            <w:hideMark/>
          </w:tcPr>
          <w:p w14:paraId="73114EA8" w14:textId="77777777" w:rsidR="00A029FC" w:rsidRDefault="00A029FC">
            <w:pPr>
              <w:pStyle w:val="NormalWeb"/>
              <w:spacing w:before="0" w:beforeAutospacing="0" w:after="0" w:afterAutospacing="0"/>
              <w:jc w:val="center"/>
            </w:pPr>
            <w:r>
              <w:rPr>
                <w:rFonts w:ascii="Arial" w:hAnsi="Arial" w:cs="Arial"/>
                <w:color w:val="000000"/>
                <w:sz w:val="20"/>
                <w:szCs w:val="20"/>
              </w:rPr>
              <w:t>15704 (50,13%)</w:t>
            </w:r>
          </w:p>
        </w:tc>
        <w:tc>
          <w:tcPr>
            <w:tcW w:w="0" w:type="auto"/>
            <w:tcBorders>
              <w:top w:val="single" w:sz="6" w:space="0" w:color="000000"/>
            </w:tcBorders>
            <w:tcMar>
              <w:top w:w="40" w:type="dxa"/>
              <w:left w:w="40" w:type="dxa"/>
              <w:bottom w:w="40" w:type="dxa"/>
              <w:right w:w="40" w:type="dxa"/>
            </w:tcMar>
            <w:vAlign w:val="center"/>
            <w:hideMark/>
          </w:tcPr>
          <w:p w14:paraId="7A037CCA" w14:textId="77777777" w:rsidR="00A029FC" w:rsidRDefault="00A029FC">
            <w:pPr>
              <w:pStyle w:val="NormalWeb"/>
              <w:spacing w:before="0" w:beforeAutospacing="0" w:after="0" w:afterAutospacing="0"/>
              <w:jc w:val="center"/>
            </w:pPr>
            <w:r>
              <w:rPr>
                <w:rFonts w:ascii="Arial" w:hAnsi="Arial" w:cs="Arial"/>
                <w:color w:val="000000"/>
                <w:sz w:val="20"/>
                <w:szCs w:val="20"/>
              </w:rPr>
              <w:t>6430 (52,51%)</w:t>
            </w:r>
          </w:p>
        </w:tc>
        <w:tc>
          <w:tcPr>
            <w:tcW w:w="0" w:type="auto"/>
            <w:tcBorders>
              <w:top w:val="single" w:sz="6" w:space="0" w:color="000000"/>
            </w:tcBorders>
            <w:tcMar>
              <w:top w:w="40" w:type="dxa"/>
              <w:left w:w="40" w:type="dxa"/>
              <w:bottom w:w="40" w:type="dxa"/>
              <w:right w:w="40" w:type="dxa"/>
            </w:tcMar>
            <w:vAlign w:val="center"/>
            <w:hideMark/>
          </w:tcPr>
          <w:p w14:paraId="72D73D34" w14:textId="77777777" w:rsidR="00A029FC" w:rsidRDefault="00A029FC">
            <w:pPr>
              <w:pStyle w:val="NormalWeb"/>
              <w:spacing w:before="0" w:beforeAutospacing="0" w:after="0" w:afterAutospacing="0"/>
              <w:jc w:val="center"/>
            </w:pPr>
            <w:r>
              <w:rPr>
                <w:rFonts w:ascii="Arial" w:hAnsi="Arial" w:cs="Arial"/>
                <w:color w:val="000000"/>
                <w:sz w:val="20"/>
                <w:szCs w:val="20"/>
              </w:rPr>
              <w:t>119026 (50,94%)</w:t>
            </w:r>
          </w:p>
        </w:tc>
      </w:tr>
      <w:tr w:rsidR="00A029FC" w14:paraId="73BB1DC9" w14:textId="77777777" w:rsidTr="00A029FC">
        <w:trPr>
          <w:trHeight w:val="525"/>
        </w:trPr>
        <w:tc>
          <w:tcPr>
            <w:tcW w:w="0" w:type="auto"/>
            <w:tcBorders>
              <w:bottom w:val="single" w:sz="6" w:space="0" w:color="000000"/>
            </w:tcBorders>
            <w:tcMar>
              <w:top w:w="40" w:type="dxa"/>
              <w:left w:w="40" w:type="dxa"/>
              <w:bottom w:w="40" w:type="dxa"/>
              <w:right w:w="40" w:type="dxa"/>
            </w:tcMar>
            <w:vAlign w:val="center"/>
            <w:hideMark/>
          </w:tcPr>
          <w:p w14:paraId="1A3BB756" w14:textId="77777777" w:rsidR="00A029FC" w:rsidRDefault="00A029FC">
            <w:pPr>
              <w:pStyle w:val="NormalWeb"/>
              <w:spacing w:before="0" w:beforeAutospacing="0" w:after="0" w:afterAutospacing="0"/>
              <w:jc w:val="center"/>
            </w:pPr>
            <w:r>
              <w:rPr>
                <w:rFonts w:ascii="Arial" w:hAnsi="Arial" w:cs="Arial"/>
                <w:b/>
                <w:bCs/>
                <w:color w:val="000000"/>
                <w:sz w:val="20"/>
                <w:szCs w:val="20"/>
              </w:rPr>
              <w:t>Feminino</w:t>
            </w:r>
          </w:p>
        </w:tc>
        <w:tc>
          <w:tcPr>
            <w:tcW w:w="0" w:type="auto"/>
            <w:tcBorders>
              <w:bottom w:val="single" w:sz="6" w:space="0" w:color="000000"/>
            </w:tcBorders>
            <w:tcMar>
              <w:top w:w="40" w:type="dxa"/>
              <w:left w:w="40" w:type="dxa"/>
              <w:bottom w:w="40" w:type="dxa"/>
              <w:right w:w="40" w:type="dxa"/>
            </w:tcMar>
            <w:vAlign w:val="center"/>
            <w:hideMark/>
          </w:tcPr>
          <w:p w14:paraId="7FF51623" w14:textId="77777777" w:rsidR="00A029FC" w:rsidRDefault="00A029FC">
            <w:pPr>
              <w:pStyle w:val="NormalWeb"/>
              <w:spacing w:before="0" w:beforeAutospacing="0" w:after="0" w:afterAutospacing="0"/>
              <w:jc w:val="center"/>
            </w:pPr>
            <w:r>
              <w:rPr>
                <w:rFonts w:ascii="Arial" w:hAnsi="Arial" w:cs="Arial"/>
                <w:color w:val="000000"/>
                <w:sz w:val="20"/>
                <w:szCs w:val="20"/>
              </w:rPr>
              <w:t>6325 (50,00%)</w:t>
            </w:r>
          </w:p>
        </w:tc>
        <w:tc>
          <w:tcPr>
            <w:tcW w:w="0" w:type="auto"/>
            <w:tcBorders>
              <w:bottom w:val="single" w:sz="6" w:space="0" w:color="000000"/>
            </w:tcBorders>
            <w:tcMar>
              <w:top w:w="40" w:type="dxa"/>
              <w:left w:w="40" w:type="dxa"/>
              <w:bottom w:w="40" w:type="dxa"/>
              <w:right w:w="40" w:type="dxa"/>
            </w:tcMar>
            <w:vAlign w:val="center"/>
            <w:hideMark/>
          </w:tcPr>
          <w:p w14:paraId="785F29E2" w14:textId="77777777" w:rsidR="00A029FC" w:rsidRDefault="00A029FC">
            <w:pPr>
              <w:pStyle w:val="NormalWeb"/>
              <w:spacing w:before="0" w:beforeAutospacing="0" w:after="0" w:afterAutospacing="0"/>
              <w:jc w:val="center"/>
            </w:pPr>
            <w:r>
              <w:rPr>
                <w:rFonts w:ascii="Arial" w:hAnsi="Arial" w:cs="Arial"/>
                <w:color w:val="000000"/>
                <w:sz w:val="20"/>
                <w:szCs w:val="20"/>
              </w:rPr>
              <w:t>33583 (50,84%)</w:t>
            </w:r>
          </w:p>
        </w:tc>
        <w:tc>
          <w:tcPr>
            <w:tcW w:w="0" w:type="auto"/>
            <w:tcBorders>
              <w:bottom w:val="single" w:sz="6" w:space="0" w:color="000000"/>
            </w:tcBorders>
            <w:tcMar>
              <w:top w:w="40" w:type="dxa"/>
              <w:left w:w="40" w:type="dxa"/>
              <w:bottom w:w="40" w:type="dxa"/>
              <w:right w:w="40" w:type="dxa"/>
            </w:tcMar>
            <w:vAlign w:val="center"/>
            <w:hideMark/>
          </w:tcPr>
          <w:p w14:paraId="75D6B5F7" w14:textId="77777777" w:rsidR="00A029FC" w:rsidRDefault="00A029FC">
            <w:pPr>
              <w:pStyle w:val="NormalWeb"/>
              <w:spacing w:before="0" w:beforeAutospacing="0" w:after="0" w:afterAutospacing="0"/>
              <w:jc w:val="center"/>
            </w:pPr>
            <w:r>
              <w:rPr>
                <w:rFonts w:ascii="Arial" w:hAnsi="Arial" w:cs="Arial"/>
                <w:color w:val="000000"/>
                <w:sz w:val="20"/>
                <w:szCs w:val="20"/>
              </w:rPr>
              <w:t>53299 (47,85%)</w:t>
            </w:r>
          </w:p>
        </w:tc>
        <w:tc>
          <w:tcPr>
            <w:tcW w:w="0" w:type="auto"/>
            <w:tcBorders>
              <w:bottom w:val="single" w:sz="6" w:space="0" w:color="000000"/>
            </w:tcBorders>
            <w:tcMar>
              <w:top w:w="40" w:type="dxa"/>
              <w:left w:w="40" w:type="dxa"/>
              <w:bottom w:w="40" w:type="dxa"/>
              <w:right w:w="40" w:type="dxa"/>
            </w:tcMar>
            <w:vAlign w:val="center"/>
            <w:hideMark/>
          </w:tcPr>
          <w:p w14:paraId="490FB01A" w14:textId="77777777" w:rsidR="00A029FC" w:rsidRDefault="00A029FC">
            <w:pPr>
              <w:pStyle w:val="NormalWeb"/>
              <w:spacing w:before="0" w:beforeAutospacing="0" w:after="0" w:afterAutospacing="0"/>
              <w:jc w:val="center"/>
            </w:pPr>
            <w:r>
              <w:rPr>
                <w:rFonts w:ascii="Arial" w:hAnsi="Arial" w:cs="Arial"/>
                <w:color w:val="000000"/>
                <w:sz w:val="20"/>
                <w:szCs w:val="20"/>
              </w:rPr>
              <w:t>15621 (49,87%)</w:t>
            </w:r>
          </w:p>
        </w:tc>
        <w:tc>
          <w:tcPr>
            <w:tcW w:w="0" w:type="auto"/>
            <w:tcBorders>
              <w:bottom w:val="single" w:sz="6" w:space="0" w:color="000000"/>
            </w:tcBorders>
            <w:tcMar>
              <w:top w:w="40" w:type="dxa"/>
              <w:left w:w="40" w:type="dxa"/>
              <w:bottom w:w="40" w:type="dxa"/>
              <w:right w:w="40" w:type="dxa"/>
            </w:tcMar>
            <w:vAlign w:val="center"/>
            <w:hideMark/>
          </w:tcPr>
          <w:p w14:paraId="79E3BA85" w14:textId="77777777" w:rsidR="00A029FC" w:rsidRDefault="00A029FC">
            <w:pPr>
              <w:pStyle w:val="NormalWeb"/>
              <w:spacing w:before="0" w:beforeAutospacing="0" w:after="0" w:afterAutospacing="0"/>
              <w:jc w:val="center"/>
            </w:pPr>
            <w:r>
              <w:rPr>
                <w:rFonts w:ascii="Arial" w:hAnsi="Arial" w:cs="Arial"/>
                <w:color w:val="000000"/>
                <w:sz w:val="20"/>
                <w:szCs w:val="20"/>
              </w:rPr>
              <w:t>5815 (47,49%)</w:t>
            </w:r>
          </w:p>
        </w:tc>
        <w:tc>
          <w:tcPr>
            <w:tcW w:w="0" w:type="auto"/>
            <w:tcBorders>
              <w:bottom w:val="single" w:sz="6" w:space="0" w:color="000000"/>
            </w:tcBorders>
            <w:tcMar>
              <w:top w:w="40" w:type="dxa"/>
              <w:left w:w="40" w:type="dxa"/>
              <w:bottom w:w="40" w:type="dxa"/>
              <w:right w:w="40" w:type="dxa"/>
            </w:tcMar>
            <w:vAlign w:val="center"/>
            <w:hideMark/>
          </w:tcPr>
          <w:p w14:paraId="307781CB" w14:textId="77777777" w:rsidR="00A029FC" w:rsidRDefault="00A029FC">
            <w:pPr>
              <w:pStyle w:val="NormalWeb"/>
              <w:spacing w:before="0" w:beforeAutospacing="0" w:after="0" w:afterAutospacing="0"/>
              <w:jc w:val="center"/>
            </w:pPr>
            <w:r>
              <w:rPr>
                <w:rFonts w:ascii="Arial" w:hAnsi="Arial" w:cs="Arial"/>
                <w:color w:val="000000"/>
                <w:sz w:val="20"/>
                <w:szCs w:val="20"/>
              </w:rPr>
              <w:t>114643 (49,06%)</w:t>
            </w:r>
          </w:p>
        </w:tc>
      </w:tr>
    </w:tbl>
    <w:p w14:paraId="6C72AE70" w14:textId="77777777" w:rsidR="00A029FC" w:rsidRDefault="00A029FC" w:rsidP="001A1C79">
      <w:pPr>
        <w:pStyle w:val="NormalWeb"/>
        <w:spacing w:before="240" w:beforeAutospacing="0" w:after="240" w:afterAutospacing="0" w:line="360" w:lineRule="auto"/>
        <w:ind w:firstLine="720"/>
        <w:jc w:val="both"/>
      </w:pPr>
      <w:r>
        <w:rPr>
          <w:rFonts w:ascii="Arial" w:hAnsi="Arial" w:cs="Arial"/>
          <w:color w:val="000000"/>
          <w:shd w:val="clear" w:color="auto" w:fill="FFFFFF"/>
        </w:rPr>
        <w:t>Quanto ao critério de cor/raça (Tabela 5), a maioria dos óbitos foi registrada entre pessoas autodeclaradas pardas (33,51%) e brancas (32,55%). Contudo, destaca-se o elevado percentual de 27,38% de casos com informação sobre raça/cor ignorada ou não preenchida, com ênfase nas regiões Nordeste (38,05%) e Norte (34,32%), o que representa uma importante limitação na análise deste quesito.  </w:t>
      </w:r>
    </w:p>
    <w:p w14:paraId="069AF9CC" w14:textId="5671B72A" w:rsidR="00A029FC" w:rsidRDefault="00614DBC" w:rsidP="00A029FC">
      <w:pPr>
        <w:pStyle w:val="NormalWeb"/>
        <w:spacing w:before="0" w:beforeAutospacing="0" w:after="0" w:afterAutospacing="0"/>
        <w:jc w:val="both"/>
      </w:pPr>
      <w:r>
        <w:rPr>
          <w:rFonts w:ascii="Arial" w:hAnsi="Arial" w:cs="Arial"/>
          <w:b/>
          <w:bCs/>
          <w:color w:val="000000"/>
          <w:shd w:val="clear" w:color="auto" w:fill="FFFFFF"/>
        </w:rPr>
        <w:t xml:space="preserve">Tabela 5. </w:t>
      </w:r>
      <w:r w:rsidR="00A029FC">
        <w:rPr>
          <w:rFonts w:ascii="Arial" w:hAnsi="Arial" w:cs="Arial"/>
          <w:color w:val="000000"/>
          <w:shd w:val="clear" w:color="auto" w:fill="FFFFFF"/>
        </w:rPr>
        <w:t>Distribuição dos Óbitos por Cor ou Raça nas Regiões do Brasil</w:t>
      </w:r>
    </w:p>
    <w:tbl>
      <w:tblPr>
        <w:tblW w:w="0" w:type="auto"/>
        <w:tblCellMar>
          <w:top w:w="15" w:type="dxa"/>
          <w:left w:w="15" w:type="dxa"/>
          <w:bottom w:w="15" w:type="dxa"/>
          <w:right w:w="15" w:type="dxa"/>
        </w:tblCellMar>
        <w:tblLook w:val="04A0" w:firstRow="1" w:lastRow="0" w:firstColumn="1" w:lastColumn="0" w:noHBand="0" w:noVBand="1"/>
      </w:tblPr>
      <w:tblGrid>
        <w:gridCol w:w="1410"/>
        <w:gridCol w:w="1155"/>
        <w:gridCol w:w="1266"/>
        <w:gridCol w:w="1293"/>
        <w:gridCol w:w="1214"/>
        <w:gridCol w:w="2086"/>
        <w:gridCol w:w="1214"/>
      </w:tblGrid>
      <w:tr w:rsidR="00A029FC" w14:paraId="77FBEA52" w14:textId="77777777" w:rsidTr="00A029FC">
        <w:trPr>
          <w:trHeight w:val="765"/>
        </w:trPr>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026DCB60" w14:textId="77777777" w:rsidR="00A029FC" w:rsidRDefault="00A029FC">
            <w:pPr>
              <w:pStyle w:val="NormalWeb"/>
              <w:spacing w:before="0" w:beforeAutospacing="0" w:after="0" w:afterAutospacing="0"/>
              <w:jc w:val="center"/>
            </w:pPr>
            <w:r>
              <w:rPr>
                <w:rFonts w:ascii="Arial" w:hAnsi="Arial" w:cs="Arial"/>
                <w:b/>
                <w:bCs/>
                <w:color w:val="000000"/>
                <w:sz w:val="20"/>
                <w:szCs w:val="20"/>
              </w:rPr>
              <w:t>Cor ou Raça</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491FC132"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Norte </w:t>
            </w:r>
          </w:p>
          <w:p w14:paraId="62437228" w14:textId="77777777" w:rsidR="00A029FC" w:rsidRDefault="00A029FC">
            <w:pPr>
              <w:pStyle w:val="NormalWeb"/>
              <w:spacing w:before="0" w:beforeAutospacing="0" w:after="0" w:afterAutospacing="0"/>
              <w:jc w:val="center"/>
            </w:pPr>
            <w:r>
              <w:rPr>
                <w:rFonts w:ascii="Arial" w:hAnsi="Arial" w:cs="Arial"/>
                <w:b/>
                <w:bCs/>
                <w:color w:val="000000"/>
                <w:sz w:val="20"/>
                <w:szCs w:val="20"/>
              </w:rPr>
              <w:t>(n = 12650)</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507F54F4"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w:t>
            </w:r>
          </w:p>
          <w:p w14:paraId="3FEAE81C" w14:textId="77777777" w:rsidR="00A029FC" w:rsidRDefault="00A029FC">
            <w:pPr>
              <w:pStyle w:val="NormalWeb"/>
              <w:spacing w:before="0" w:beforeAutospacing="0" w:after="0" w:afterAutospacing="0"/>
              <w:jc w:val="center"/>
            </w:pPr>
            <w:r>
              <w:rPr>
                <w:rFonts w:ascii="Arial" w:hAnsi="Arial" w:cs="Arial"/>
                <w:b/>
                <w:bCs/>
                <w:color w:val="000000"/>
                <w:sz w:val="20"/>
                <w:szCs w:val="20"/>
              </w:rPr>
              <w:t>Nordeste </w:t>
            </w:r>
          </w:p>
          <w:p w14:paraId="31D76159" w14:textId="77777777" w:rsidR="00A029FC" w:rsidRDefault="00A029FC">
            <w:pPr>
              <w:pStyle w:val="NormalWeb"/>
              <w:spacing w:before="0" w:beforeAutospacing="0" w:after="0" w:afterAutospacing="0"/>
              <w:jc w:val="center"/>
            </w:pPr>
            <w:r>
              <w:rPr>
                <w:rFonts w:ascii="Arial" w:hAnsi="Arial" w:cs="Arial"/>
                <w:b/>
                <w:bCs/>
                <w:color w:val="000000"/>
                <w:sz w:val="20"/>
                <w:szCs w:val="20"/>
              </w:rPr>
              <w:t>(n = 66062)</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2EBE71BE"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Sudeste </w:t>
            </w:r>
          </w:p>
          <w:p w14:paraId="5B1E5AC4" w14:textId="77777777" w:rsidR="00A029FC" w:rsidRDefault="00A029FC">
            <w:pPr>
              <w:pStyle w:val="NormalWeb"/>
              <w:spacing w:before="0" w:beforeAutospacing="0" w:after="0" w:afterAutospacing="0"/>
              <w:jc w:val="center"/>
            </w:pPr>
            <w:r>
              <w:rPr>
                <w:rFonts w:ascii="Arial" w:hAnsi="Arial" w:cs="Arial"/>
                <w:b/>
                <w:bCs/>
                <w:color w:val="000000"/>
                <w:sz w:val="20"/>
                <w:szCs w:val="20"/>
              </w:rPr>
              <w:t>(n = 111387)</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368CFBC1"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Sul </w:t>
            </w:r>
          </w:p>
          <w:p w14:paraId="59A2D9D4" w14:textId="77777777" w:rsidR="00A029FC" w:rsidRDefault="00A029FC">
            <w:pPr>
              <w:pStyle w:val="NormalWeb"/>
              <w:spacing w:before="0" w:beforeAutospacing="0" w:after="0" w:afterAutospacing="0"/>
              <w:jc w:val="center"/>
            </w:pPr>
            <w:r>
              <w:rPr>
                <w:rFonts w:ascii="Arial" w:hAnsi="Arial" w:cs="Arial"/>
                <w:b/>
                <w:bCs/>
                <w:color w:val="000000"/>
                <w:sz w:val="20"/>
                <w:szCs w:val="20"/>
              </w:rPr>
              <w:t>(n = 31325)</w:t>
            </w:r>
          </w:p>
        </w:tc>
        <w:tc>
          <w:tcPr>
            <w:tcW w:w="0" w:type="auto"/>
            <w:tcBorders>
              <w:top w:val="single" w:sz="6" w:space="0" w:color="000000"/>
              <w:bottom w:val="single" w:sz="6" w:space="0" w:color="000000"/>
            </w:tcBorders>
            <w:tcMar>
              <w:top w:w="40" w:type="dxa"/>
              <w:left w:w="40" w:type="dxa"/>
              <w:bottom w:w="40" w:type="dxa"/>
              <w:right w:w="40" w:type="dxa"/>
            </w:tcMar>
            <w:vAlign w:val="center"/>
            <w:hideMark/>
          </w:tcPr>
          <w:p w14:paraId="578B7521" w14:textId="77777777" w:rsidR="00A029FC" w:rsidRDefault="00A029FC">
            <w:pPr>
              <w:pStyle w:val="NormalWeb"/>
              <w:spacing w:before="0" w:beforeAutospacing="0" w:after="0" w:afterAutospacing="0"/>
              <w:jc w:val="center"/>
            </w:pPr>
            <w:r>
              <w:rPr>
                <w:rFonts w:ascii="Arial" w:hAnsi="Arial" w:cs="Arial"/>
                <w:b/>
                <w:bCs/>
                <w:color w:val="000000"/>
                <w:sz w:val="20"/>
                <w:szCs w:val="20"/>
              </w:rPr>
              <w:t>Região Centro-Oeste (n = 12245)</w:t>
            </w:r>
          </w:p>
        </w:tc>
        <w:tc>
          <w:tcPr>
            <w:tcW w:w="0" w:type="auto"/>
            <w:tcBorders>
              <w:top w:val="single" w:sz="6" w:space="0" w:color="000000"/>
              <w:bottom w:val="single" w:sz="6" w:space="0" w:color="000000"/>
            </w:tcBorders>
            <w:tcMar>
              <w:top w:w="40" w:type="dxa"/>
              <w:left w:w="0" w:type="dxa"/>
              <w:bottom w:w="40" w:type="dxa"/>
              <w:right w:w="0" w:type="dxa"/>
            </w:tcMar>
            <w:vAlign w:val="center"/>
            <w:hideMark/>
          </w:tcPr>
          <w:p w14:paraId="1C194809" w14:textId="77777777" w:rsidR="00A029FC" w:rsidRDefault="00A029FC">
            <w:pPr>
              <w:pStyle w:val="NormalWeb"/>
              <w:spacing w:before="0" w:beforeAutospacing="0" w:after="0" w:afterAutospacing="0"/>
              <w:ind w:left="-9360" w:right="-9360"/>
              <w:jc w:val="center"/>
            </w:pPr>
            <w:r>
              <w:rPr>
                <w:rFonts w:ascii="Arial" w:hAnsi="Arial" w:cs="Arial"/>
                <w:b/>
                <w:bCs/>
                <w:color w:val="000000"/>
                <w:sz w:val="20"/>
                <w:szCs w:val="20"/>
              </w:rPr>
              <w:t>Total </w:t>
            </w:r>
          </w:p>
          <w:p w14:paraId="10ED3AF8" w14:textId="77777777" w:rsidR="00A029FC" w:rsidRDefault="00A029FC">
            <w:pPr>
              <w:pStyle w:val="NormalWeb"/>
              <w:spacing w:before="0" w:beforeAutospacing="0" w:after="0" w:afterAutospacing="0"/>
              <w:ind w:left="-9360" w:right="-9360"/>
              <w:jc w:val="center"/>
            </w:pPr>
            <w:r>
              <w:rPr>
                <w:rFonts w:ascii="Arial" w:hAnsi="Arial" w:cs="Arial"/>
                <w:b/>
                <w:bCs/>
                <w:color w:val="000000"/>
                <w:sz w:val="20"/>
                <w:szCs w:val="20"/>
              </w:rPr>
              <w:t>(n = 233669)</w:t>
            </w:r>
          </w:p>
        </w:tc>
      </w:tr>
      <w:tr w:rsidR="00A029FC" w14:paraId="513C7822" w14:textId="77777777" w:rsidTr="00A029FC">
        <w:trPr>
          <w:trHeight w:val="510"/>
        </w:trPr>
        <w:tc>
          <w:tcPr>
            <w:tcW w:w="0" w:type="auto"/>
            <w:tcBorders>
              <w:top w:val="single" w:sz="6" w:space="0" w:color="000000"/>
            </w:tcBorders>
            <w:tcMar>
              <w:top w:w="40" w:type="dxa"/>
              <w:left w:w="40" w:type="dxa"/>
              <w:bottom w:w="40" w:type="dxa"/>
              <w:right w:w="40" w:type="dxa"/>
            </w:tcMar>
            <w:vAlign w:val="center"/>
            <w:hideMark/>
          </w:tcPr>
          <w:p w14:paraId="16594EC4" w14:textId="77777777" w:rsidR="00A029FC" w:rsidRDefault="00A029FC">
            <w:pPr>
              <w:pStyle w:val="NormalWeb"/>
              <w:spacing w:before="0" w:beforeAutospacing="0" w:after="0" w:afterAutospacing="0"/>
              <w:jc w:val="center"/>
            </w:pPr>
            <w:r>
              <w:rPr>
                <w:rFonts w:ascii="Arial" w:hAnsi="Arial" w:cs="Arial"/>
                <w:b/>
                <w:bCs/>
                <w:color w:val="000000"/>
                <w:sz w:val="20"/>
                <w:szCs w:val="20"/>
              </w:rPr>
              <w:t>Branca</w:t>
            </w:r>
          </w:p>
        </w:tc>
        <w:tc>
          <w:tcPr>
            <w:tcW w:w="0" w:type="auto"/>
            <w:tcBorders>
              <w:top w:val="single" w:sz="6" w:space="0" w:color="000000"/>
            </w:tcBorders>
            <w:tcMar>
              <w:top w:w="40" w:type="dxa"/>
              <w:left w:w="40" w:type="dxa"/>
              <w:bottom w:w="40" w:type="dxa"/>
              <w:right w:w="40" w:type="dxa"/>
            </w:tcMar>
            <w:vAlign w:val="center"/>
            <w:hideMark/>
          </w:tcPr>
          <w:p w14:paraId="7B2F7C28" w14:textId="77777777" w:rsidR="00A029FC" w:rsidRDefault="00A029FC">
            <w:pPr>
              <w:pStyle w:val="NormalWeb"/>
              <w:spacing w:before="0" w:beforeAutospacing="0" w:after="0" w:afterAutospacing="0"/>
              <w:jc w:val="center"/>
            </w:pPr>
            <w:r>
              <w:rPr>
                <w:rFonts w:ascii="Arial" w:hAnsi="Arial" w:cs="Arial"/>
                <w:color w:val="000000"/>
                <w:sz w:val="20"/>
                <w:szCs w:val="20"/>
              </w:rPr>
              <w:t>520 (4,11%)</w:t>
            </w:r>
          </w:p>
        </w:tc>
        <w:tc>
          <w:tcPr>
            <w:tcW w:w="0" w:type="auto"/>
            <w:tcBorders>
              <w:top w:val="single" w:sz="6" w:space="0" w:color="000000"/>
            </w:tcBorders>
            <w:tcMar>
              <w:top w:w="40" w:type="dxa"/>
              <w:left w:w="40" w:type="dxa"/>
              <w:bottom w:w="40" w:type="dxa"/>
              <w:right w:w="40" w:type="dxa"/>
            </w:tcMar>
            <w:vAlign w:val="center"/>
            <w:hideMark/>
          </w:tcPr>
          <w:p w14:paraId="67BB0B42" w14:textId="77777777" w:rsidR="00A029FC" w:rsidRDefault="00A029FC">
            <w:pPr>
              <w:pStyle w:val="NormalWeb"/>
              <w:spacing w:before="0" w:beforeAutospacing="0" w:after="0" w:afterAutospacing="0"/>
              <w:jc w:val="center"/>
            </w:pPr>
            <w:r>
              <w:rPr>
                <w:rFonts w:ascii="Arial" w:hAnsi="Arial" w:cs="Arial"/>
                <w:color w:val="000000"/>
                <w:sz w:val="20"/>
                <w:szCs w:val="20"/>
              </w:rPr>
              <w:t>4503 (6,82%)</w:t>
            </w:r>
          </w:p>
        </w:tc>
        <w:tc>
          <w:tcPr>
            <w:tcW w:w="0" w:type="auto"/>
            <w:tcBorders>
              <w:top w:val="single" w:sz="6" w:space="0" w:color="000000"/>
            </w:tcBorders>
            <w:tcMar>
              <w:top w:w="40" w:type="dxa"/>
              <w:left w:w="40" w:type="dxa"/>
              <w:bottom w:w="40" w:type="dxa"/>
              <w:right w:w="40" w:type="dxa"/>
            </w:tcMar>
            <w:vAlign w:val="center"/>
            <w:hideMark/>
          </w:tcPr>
          <w:p w14:paraId="0DABBF37" w14:textId="77777777" w:rsidR="00A029FC" w:rsidRDefault="00A029FC">
            <w:pPr>
              <w:pStyle w:val="NormalWeb"/>
              <w:spacing w:before="0" w:beforeAutospacing="0" w:after="0" w:afterAutospacing="0"/>
              <w:jc w:val="center"/>
            </w:pPr>
            <w:r>
              <w:rPr>
                <w:rFonts w:ascii="Arial" w:hAnsi="Arial" w:cs="Arial"/>
                <w:color w:val="000000"/>
                <w:sz w:val="20"/>
                <w:szCs w:val="20"/>
              </w:rPr>
              <w:t>46153 (41,43%)</w:t>
            </w:r>
          </w:p>
        </w:tc>
        <w:tc>
          <w:tcPr>
            <w:tcW w:w="0" w:type="auto"/>
            <w:tcBorders>
              <w:top w:val="single" w:sz="6" w:space="0" w:color="000000"/>
            </w:tcBorders>
            <w:tcMar>
              <w:top w:w="40" w:type="dxa"/>
              <w:left w:w="40" w:type="dxa"/>
              <w:bottom w:w="40" w:type="dxa"/>
              <w:right w:w="40" w:type="dxa"/>
            </w:tcMar>
            <w:vAlign w:val="center"/>
            <w:hideMark/>
          </w:tcPr>
          <w:p w14:paraId="10D36B76" w14:textId="77777777" w:rsidR="00A029FC" w:rsidRDefault="00A029FC">
            <w:pPr>
              <w:pStyle w:val="NormalWeb"/>
              <w:spacing w:before="0" w:beforeAutospacing="0" w:after="0" w:afterAutospacing="0"/>
              <w:jc w:val="center"/>
            </w:pPr>
            <w:r>
              <w:rPr>
                <w:rFonts w:ascii="Arial" w:hAnsi="Arial" w:cs="Arial"/>
                <w:color w:val="000000"/>
                <w:sz w:val="20"/>
                <w:szCs w:val="20"/>
              </w:rPr>
              <w:t>22544 (71,97%)</w:t>
            </w:r>
          </w:p>
        </w:tc>
        <w:tc>
          <w:tcPr>
            <w:tcW w:w="0" w:type="auto"/>
            <w:tcBorders>
              <w:top w:val="single" w:sz="6" w:space="0" w:color="000000"/>
            </w:tcBorders>
            <w:tcMar>
              <w:top w:w="40" w:type="dxa"/>
              <w:left w:w="40" w:type="dxa"/>
              <w:bottom w:w="40" w:type="dxa"/>
              <w:right w:w="40" w:type="dxa"/>
            </w:tcMar>
            <w:vAlign w:val="center"/>
            <w:hideMark/>
          </w:tcPr>
          <w:p w14:paraId="19CE567A" w14:textId="77777777" w:rsidR="00A029FC" w:rsidRDefault="00A029FC">
            <w:pPr>
              <w:pStyle w:val="NormalWeb"/>
              <w:spacing w:before="0" w:beforeAutospacing="0" w:after="0" w:afterAutospacing="0"/>
              <w:jc w:val="center"/>
            </w:pPr>
            <w:r>
              <w:rPr>
                <w:rFonts w:ascii="Arial" w:hAnsi="Arial" w:cs="Arial"/>
                <w:color w:val="000000"/>
                <w:sz w:val="20"/>
                <w:szCs w:val="20"/>
              </w:rPr>
              <w:t>2343 (19,13%)</w:t>
            </w:r>
          </w:p>
        </w:tc>
        <w:tc>
          <w:tcPr>
            <w:tcW w:w="0" w:type="auto"/>
            <w:tcBorders>
              <w:top w:val="single" w:sz="6" w:space="0" w:color="000000"/>
            </w:tcBorders>
            <w:tcMar>
              <w:top w:w="40" w:type="dxa"/>
              <w:left w:w="40" w:type="dxa"/>
              <w:bottom w:w="40" w:type="dxa"/>
              <w:right w:w="40" w:type="dxa"/>
            </w:tcMar>
            <w:vAlign w:val="center"/>
            <w:hideMark/>
          </w:tcPr>
          <w:p w14:paraId="1BD83A2C" w14:textId="77777777" w:rsidR="00A029FC" w:rsidRDefault="00A029FC">
            <w:pPr>
              <w:pStyle w:val="NormalWeb"/>
              <w:spacing w:before="0" w:beforeAutospacing="0" w:after="0" w:afterAutospacing="0"/>
              <w:jc w:val="center"/>
            </w:pPr>
            <w:r>
              <w:rPr>
                <w:rFonts w:ascii="Arial" w:hAnsi="Arial" w:cs="Arial"/>
                <w:color w:val="000000"/>
                <w:sz w:val="20"/>
                <w:szCs w:val="20"/>
              </w:rPr>
              <w:t>76063 (32,55%)</w:t>
            </w:r>
          </w:p>
        </w:tc>
      </w:tr>
      <w:tr w:rsidR="00A029FC" w14:paraId="799F7F71" w14:textId="77777777" w:rsidTr="00A029FC">
        <w:trPr>
          <w:trHeight w:val="315"/>
        </w:trPr>
        <w:tc>
          <w:tcPr>
            <w:tcW w:w="0" w:type="auto"/>
            <w:tcMar>
              <w:top w:w="40" w:type="dxa"/>
              <w:left w:w="40" w:type="dxa"/>
              <w:bottom w:w="40" w:type="dxa"/>
              <w:right w:w="40" w:type="dxa"/>
            </w:tcMar>
            <w:vAlign w:val="center"/>
            <w:hideMark/>
          </w:tcPr>
          <w:p w14:paraId="17D99B80" w14:textId="77777777" w:rsidR="00A029FC" w:rsidRDefault="00A029FC">
            <w:pPr>
              <w:pStyle w:val="NormalWeb"/>
              <w:spacing w:before="0" w:beforeAutospacing="0" w:after="0" w:afterAutospacing="0"/>
              <w:jc w:val="center"/>
            </w:pPr>
            <w:r>
              <w:rPr>
                <w:rFonts w:ascii="Arial" w:hAnsi="Arial" w:cs="Arial"/>
                <w:b/>
                <w:bCs/>
                <w:color w:val="000000"/>
                <w:sz w:val="20"/>
                <w:szCs w:val="20"/>
              </w:rPr>
              <w:t>Preta</w:t>
            </w:r>
          </w:p>
        </w:tc>
        <w:tc>
          <w:tcPr>
            <w:tcW w:w="0" w:type="auto"/>
            <w:tcMar>
              <w:top w:w="40" w:type="dxa"/>
              <w:left w:w="40" w:type="dxa"/>
              <w:bottom w:w="40" w:type="dxa"/>
              <w:right w:w="40" w:type="dxa"/>
            </w:tcMar>
            <w:vAlign w:val="center"/>
            <w:hideMark/>
          </w:tcPr>
          <w:p w14:paraId="122F4D9A" w14:textId="77777777" w:rsidR="00A029FC" w:rsidRDefault="00A029FC">
            <w:pPr>
              <w:pStyle w:val="NormalWeb"/>
              <w:spacing w:before="0" w:beforeAutospacing="0" w:after="0" w:afterAutospacing="0"/>
              <w:jc w:val="center"/>
            </w:pPr>
            <w:r>
              <w:rPr>
                <w:rFonts w:ascii="Arial" w:hAnsi="Arial" w:cs="Arial"/>
                <w:color w:val="000000"/>
                <w:sz w:val="20"/>
                <w:szCs w:val="20"/>
              </w:rPr>
              <w:t>250 (1,98%)</w:t>
            </w:r>
          </w:p>
        </w:tc>
        <w:tc>
          <w:tcPr>
            <w:tcW w:w="0" w:type="auto"/>
            <w:tcMar>
              <w:top w:w="40" w:type="dxa"/>
              <w:left w:w="40" w:type="dxa"/>
              <w:bottom w:w="40" w:type="dxa"/>
              <w:right w:w="40" w:type="dxa"/>
            </w:tcMar>
            <w:vAlign w:val="center"/>
            <w:hideMark/>
          </w:tcPr>
          <w:p w14:paraId="3BC0C717" w14:textId="77777777" w:rsidR="00A029FC" w:rsidRDefault="00A029FC">
            <w:pPr>
              <w:pStyle w:val="NormalWeb"/>
              <w:spacing w:before="0" w:beforeAutospacing="0" w:after="0" w:afterAutospacing="0"/>
              <w:jc w:val="center"/>
            </w:pPr>
            <w:r>
              <w:rPr>
                <w:rFonts w:ascii="Arial" w:hAnsi="Arial" w:cs="Arial"/>
                <w:color w:val="000000"/>
                <w:sz w:val="20"/>
                <w:szCs w:val="20"/>
              </w:rPr>
              <w:t>1688 (2,56%)</w:t>
            </w:r>
          </w:p>
        </w:tc>
        <w:tc>
          <w:tcPr>
            <w:tcW w:w="0" w:type="auto"/>
            <w:tcMar>
              <w:top w:w="40" w:type="dxa"/>
              <w:left w:w="40" w:type="dxa"/>
              <w:bottom w:w="40" w:type="dxa"/>
              <w:right w:w="40" w:type="dxa"/>
            </w:tcMar>
            <w:vAlign w:val="center"/>
            <w:hideMark/>
          </w:tcPr>
          <w:p w14:paraId="6DA29565" w14:textId="77777777" w:rsidR="00A029FC" w:rsidRDefault="00A029FC">
            <w:pPr>
              <w:pStyle w:val="NormalWeb"/>
              <w:spacing w:before="0" w:beforeAutospacing="0" w:after="0" w:afterAutospacing="0"/>
              <w:jc w:val="center"/>
            </w:pPr>
            <w:r>
              <w:rPr>
                <w:rFonts w:ascii="Arial" w:hAnsi="Arial" w:cs="Arial"/>
                <w:color w:val="000000"/>
                <w:sz w:val="20"/>
                <w:szCs w:val="20"/>
              </w:rPr>
              <w:t>8501 (7,63%)</w:t>
            </w:r>
          </w:p>
        </w:tc>
        <w:tc>
          <w:tcPr>
            <w:tcW w:w="0" w:type="auto"/>
            <w:tcMar>
              <w:top w:w="40" w:type="dxa"/>
              <w:left w:w="40" w:type="dxa"/>
              <w:bottom w:w="40" w:type="dxa"/>
              <w:right w:w="40" w:type="dxa"/>
            </w:tcMar>
            <w:vAlign w:val="center"/>
            <w:hideMark/>
          </w:tcPr>
          <w:p w14:paraId="114A2DF1" w14:textId="77777777" w:rsidR="00A029FC" w:rsidRDefault="00A029FC">
            <w:pPr>
              <w:pStyle w:val="NormalWeb"/>
              <w:spacing w:before="0" w:beforeAutospacing="0" w:after="0" w:afterAutospacing="0"/>
              <w:jc w:val="center"/>
            </w:pPr>
            <w:r>
              <w:rPr>
                <w:rFonts w:ascii="Arial" w:hAnsi="Arial" w:cs="Arial"/>
                <w:color w:val="000000"/>
                <w:sz w:val="20"/>
                <w:szCs w:val="20"/>
              </w:rPr>
              <w:t>1279 (4,08%)</w:t>
            </w:r>
          </w:p>
        </w:tc>
        <w:tc>
          <w:tcPr>
            <w:tcW w:w="0" w:type="auto"/>
            <w:tcMar>
              <w:top w:w="40" w:type="dxa"/>
              <w:left w:w="40" w:type="dxa"/>
              <w:bottom w:w="40" w:type="dxa"/>
              <w:right w:w="40" w:type="dxa"/>
            </w:tcMar>
            <w:vAlign w:val="center"/>
            <w:hideMark/>
          </w:tcPr>
          <w:p w14:paraId="65D13FE7" w14:textId="77777777" w:rsidR="00A029FC" w:rsidRDefault="00A029FC">
            <w:pPr>
              <w:pStyle w:val="NormalWeb"/>
              <w:spacing w:before="0" w:beforeAutospacing="0" w:after="0" w:afterAutospacing="0"/>
              <w:jc w:val="center"/>
            </w:pPr>
            <w:r>
              <w:rPr>
                <w:rFonts w:ascii="Arial" w:hAnsi="Arial" w:cs="Arial"/>
                <w:color w:val="000000"/>
                <w:sz w:val="20"/>
                <w:szCs w:val="20"/>
              </w:rPr>
              <w:t>271 (2,21%)</w:t>
            </w:r>
          </w:p>
        </w:tc>
        <w:tc>
          <w:tcPr>
            <w:tcW w:w="0" w:type="auto"/>
            <w:tcMar>
              <w:top w:w="40" w:type="dxa"/>
              <w:left w:w="40" w:type="dxa"/>
              <w:bottom w:w="40" w:type="dxa"/>
              <w:right w:w="40" w:type="dxa"/>
            </w:tcMar>
            <w:vAlign w:val="center"/>
            <w:hideMark/>
          </w:tcPr>
          <w:p w14:paraId="278D7A74" w14:textId="77777777" w:rsidR="00A029FC" w:rsidRDefault="00A029FC">
            <w:pPr>
              <w:pStyle w:val="NormalWeb"/>
              <w:spacing w:before="0" w:beforeAutospacing="0" w:after="0" w:afterAutospacing="0"/>
              <w:jc w:val="center"/>
            </w:pPr>
            <w:r>
              <w:rPr>
                <w:rFonts w:ascii="Arial" w:hAnsi="Arial" w:cs="Arial"/>
                <w:color w:val="000000"/>
                <w:sz w:val="20"/>
                <w:szCs w:val="20"/>
              </w:rPr>
              <w:t>11989 (5,13%)</w:t>
            </w:r>
          </w:p>
        </w:tc>
      </w:tr>
      <w:tr w:rsidR="00A029FC" w14:paraId="1E71F569" w14:textId="77777777" w:rsidTr="00A029FC">
        <w:trPr>
          <w:trHeight w:val="510"/>
        </w:trPr>
        <w:tc>
          <w:tcPr>
            <w:tcW w:w="0" w:type="auto"/>
            <w:tcMar>
              <w:top w:w="40" w:type="dxa"/>
              <w:left w:w="40" w:type="dxa"/>
              <w:bottom w:w="40" w:type="dxa"/>
              <w:right w:w="40" w:type="dxa"/>
            </w:tcMar>
            <w:vAlign w:val="center"/>
            <w:hideMark/>
          </w:tcPr>
          <w:p w14:paraId="76E900F1" w14:textId="77777777" w:rsidR="00A029FC" w:rsidRDefault="00A029FC">
            <w:pPr>
              <w:pStyle w:val="NormalWeb"/>
              <w:spacing w:before="0" w:beforeAutospacing="0" w:after="0" w:afterAutospacing="0"/>
              <w:jc w:val="center"/>
            </w:pPr>
            <w:r>
              <w:rPr>
                <w:rFonts w:ascii="Arial" w:hAnsi="Arial" w:cs="Arial"/>
                <w:b/>
                <w:bCs/>
                <w:color w:val="000000"/>
                <w:sz w:val="20"/>
                <w:szCs w:val="20"/>
              </w:rPr>
              <w:t>Parda</w:t>
            </w:r>
          </w:p>
        </w:tc>
        <w:tc>
          <w:tcPr>
            <w:tcW w:w="0" w:type="auto"/>
            <w:tcMar>
              <w:top w:w="40" w:type="dxa"/>
              <w:left w:w="40" w:type="dxa"/>
              <w:bottom w:w="40" w:type="dxa"/>
              <w:right w:w="40" w:type="dxa"/>
            </w:tcMar>
            <w:vAlign w:val="center"/>
            <w:hideMark/>
          </w:tcPr>
          <w:p w14:paraId="63D61728" w14:textId="77777777" w:rsidR="00A029FC" w:rsidRDefault="00A029FC">
            <w:pPr>
              <w:pStyle w:val="NormalWeb"/>
              <w:spacing w:before="0" w:beforeAutospacing="0" w:after="0" w:afterAutospacing="0"/>
              <w:jc w:val="center"/>
            </w:pPr>
            <w:r>
              <w:rPr>
                <w:rFonts w:ascii="Arial" w:hAnsi="Arial" w:cs="Arial"/>
                <w:color w:val="000000"/>
                <w:sz w:val="20"/>
                <w:szCs w:val="20"/>
              </w:rPr>
              <w:t>7121 (56,29%)</w:t>
            </w:r>
          </w:p>
        </w:tc>
        <w:tc>
          <w:tcPr>
            <w:tcW w:w="0" w:type="auto"/>
            <w:tcMar>
              <w:top w:w="40" w:type="dxa"/>
              <w:left w:w="40" w:type="dxa"/>
              <w:bottom w:w="40" w:type="dxa"/>
              <w:right w:w="40" w:type="dxa"/>
            </w:tcMar>
            <w:vAlign w:val="center"/>
            <w:hideMark/>
          </w:tcPr>
          <w:p w14:paraId="2743523E" w14:textId="77777777" w:rsidR="00A029FC" w:rsidRDefault="00A029FC">
            <w:pPr>
              <w:pStyle w:val="NormalWeb"/>
              <w:spacing w:before="0" w:beforeAutospacing="0" w:after="0" w:afterAutospacing="0"/>
              <w:jc w:val="center"/>
            </w:pPr>
            <w:r>
              <w:rPr>
                <w:rFonts w:ascii="Arial" w:hAnsi="Arial" w:cs="Arial"/>
                <w:color w:val="000000"/>
                <w:sz w:val="20"/>
                <w:szCs w:val="20"/>
              </w:rPr>
              <w:t>33650 (50,94%)</w:t>
            </w:r>
          </w:p>
        </w:tc>
        <w:tc>
          <w:tcPr>
            <w:tcW w:w="0" w:type="auto"/>
            <w:tcMar>
              <w:top w:w="40" w:type="dxa"/>
              <w:left w:w="40" w:type="dxa"/>
              <w:bottom w:w="40" w:type="dxa"/>
              <w:right w:w="40" w:type="dxa"/>
            </w:tcMar>
            <w:vAlign w:val="center"/>
            <w:hideMark/>
          </w:tcPr>
          <w:p w14:paraId="5CB6DFE6" w14:textId="77777777" w:rsidR="00A029FC" w:rsidRDefault="00A029FC">
            <w:pPr>
              <w:pStyle w:val="NormalWeb"/>
              <w:spacing w:before="0" w:beforeAutospacing="0" w:after="0" w:afterAutospacing="0"/>
              <w:jc w:val="center"/>
            </w:pPr>
            <w:r>
              <w:rPr>
                <w:rFonts w:ascii="Arial" w:hAnsi="Arial" w:cs="Arial"/>
                <w:color w:val="000000"/>
                <w:sz w:val="20"/>
                <w:szCs w:val="20"/>
              </w:rPr>
              <w:t>30368 (27,26%)</w:t>
            </w:r>
          </w:p>
        </w:tc>
        <w:tc>
          <w:tcPr>
            <w:tcW w:w="0" w:type="auto"/>
            <w:tcMar>
              <w:top w:w="40" w:type="dxa"/>
              <w:left w:w="40" w:type="dxa"/>
              <w:bottom w:w="40" w:type="dxa"/>
              <w:right w:w="40" w:type="dxa"/>
            </w:tcMar>
            <w:vAlign w:val="center"/>
            <w:hideMark/>
          </w:tcPr>
          <w:p w14:paraId="6EB8706A" w14:textId="77777777" w:rsidR="00A029FC" w:rsidRDefault="00A029FC">
            <w:pPr>
              <w:pStyle w:val="NormalWeb"/>
              <w:spacing w:before="0" w:beforeAutospacing="0" w:after="0" w:afterAutospacing="0"/>
              <w:jc w:val="center"/>
            </w:pPr>
            <w:r>
              <w:rPr>
                <w:rFonts w:ascii="Arial" w:hAnsi="Arial" w:cs="Arial"/>
                <w:color w:val="000000"/>
                <w:sz w:val="20"/>
                <w:szCs w:val="20"/>
              </w:rPr>
              <w:t>1947 (6,22%)</w:t>
            </w:r>
          </w:p>
        </w:tc>
        <w:tc>
          <w:tcPr>
            <w:tcW w:w="0" w:type="auto"/>
            <w:tcMar>
              <w:top w:w="40" w:type="dxa"/>
              <w:left w:w="40" w:type="dxa"/>
              <w:bottom w:w="40" w:type="dxa"/>
              <w:right w:w="40" w:type="dxa"/>
            </w:tcMar>
            <w:vAlign w:val="center"/>
            <w:hideMark/>
          </w:tcPr>
          <w:p w14:paraId="34BD87FF" w14:textId="77777777" w:rsidR="00A029FC" w:rsidRDefault="00A029FC">
            <w:pPr>
              <w:pStyle w:val="NormalWeb"/>
              <w:spacing w:before="0" w:beforeAutospacing="0" w:after="0" w:afterAutospacing="0"/>
              <w:jc w:val="center"/>
            </w:pPr>
            <w:r>
              <w:rPr>
                <w:rFonts w:ascii="Arial" w:hAnsi="Arial" w:cs="Arial"/>
                <w:color w:val="000000"/>
                <w:sz w:val="20"/>
                <w:szCs w:val="20"/>
              </w:rPr>
              <w:t>5222 (42,65%)</w:t>
            </w:r>
          </w:p>
        </w:tc>
        <w:tc>
          <w:tcPr>
            <w:tcW w:w="0" w:type="auto"/>
            <w:tcMar>
              <w:top w:w="40" w:type="dxa"/>
              <w:left w:w="40" w:type="dxa"/>
              <w:bottom w:w="40" w:type="dxa"/>
              <w:right w:w="40" w:type="dxa"/>
            </w:tcMar>
            <w:vAlign w:val="center"/>
            <w:hideMark/>
          </w:tcPr>
          <w:p w14:paraId="66171448" w14:textId="77777777" w:rsidR="00A029FC" w:rsidRDefault="00A029FC">
            <w:pPr>
              <w:pStyle w:val="NormalWeb"/>
              <w:spacing w:before="0" w:beforeAutospacing="0" w:after="0" w:afterAutospacing="0"/>
              <w:jc w:val="center"/>
            </w:pPr>
            <w:r>
              <w:rPr>
                <w:rFonts w:ascii="Arial" w:hAnsi="Arial" w:cs="Arial"/>
                <w:color w:val="000000"/>
                <w:sz w:val="20"/>
                <w:szCs w:val="20"/>
              </w:rPr>
              <w:t>78308 (33,51%)</w:t>
            </w:r>
          </w:p>
        </w:tc>
      </w:tr>
      <w:tr w:rsidR="00A029FC" w14:paraId="358CB002" w14:textId="77777777" w:rsidTr="00A029FC">
        <w:trPr>
          <w:trHeight w:val="315"/>
        </w:trPr>
        <w:tc>
          <w:tcPr>
            <w:tcW w:w="0" w:type="auto"/>
            <w:tcMar>
              <w:top w:w="40" w:type="dxa"/>
              <w:left w:w="40" w:type="dxa"/>
              <w:bottom w:w="40" w:type="dxa"/>
              <w:right w:w="40" w:type="dxa"/>
            </w:tcMar>
            <w:vAlign w:val="center"/>
            <w:hideMark/>
          </w:tcPr>
          <w:p w14:paraId="14E07C2A" w14:textId="77777777" w:rsidR="00A029FC" w:rsidRDefault="00A029FC">
            <w:pPr>
              <w:pStyle w:val="NormalWeb"/>
              <w:spacing w:before="0" w:beforeAutospacing="0" w:after="0" w:afterAutospacing="0"/>
              <w:jc w:val="center"/>
            </w:pPr>
            <w:r>
              <w:rPr>
                <w:rFonts w:ascii="Arial" w:hAnsi="Arial" w:cs="Arial"/>
                <w:b/>
                <w:bCs/>
                <w:color w:val="000000"/>
                <w:sz w:val="20"/>
                <w:szCs w:val="20"/>
              </w:rPr>
              <w:t>Amarela</w:t>
            </w:r>
          </w:p>
        </w:tc>
        <w:tc>
          <w:tcPr>
            <w:tcW w:w="0" w:type="auto"/>
            <w:tcMar>
              <w:top w:w="40" w:type="dxa"/>
              <w:left w:w="40" w:type="dxa"/>
              <w:bottom w:w="40" w:type="dxa"/>
              <w:right w:w="40" w:type="dxa"/>
            </w:tcMar>
            <w:vAlign w:val="center"/>
            <w:hideMark/>
          </w:tcPr>
          <w:p w14:paraId="03080185" w14:textId="77777777" w:rsidR="00A029FC" w:rsidRDefault="00A029FC">
            <w:pPr>
              <w:pStyle w:val="NormalWeb"/>
              <w:spacing w:before="0" w:beforeAutospacing="0" w:after="0" w:afterAutospacing="0"/>
              <w:jc w:val="center"/>
            </w:pPr>
            <w:r>
              <w:rPr>
                <w:rFonts w:ascii="Arial" w:hAnsi="Arial" w:cs="Arial"/>
                <w:color w:val="000000"/>
                <w:sz w:val="20"/>
                <w:szCs w:val="20"/>
              </w:rPr>
              <w:t>220 (1,74%)</w:t>
            </w:r>
          </w:p>
        </w:tc>
        <w:tc>
          <w:tcPr>
            <w:tcW w:w="0" w:type="auto"/>
            <w:tcMar>
              <w:top w:w="40" w:type="dxa"/>
              <w:left w:w="40" w:type="dxa"/>
              <w:bottom w:w="40" w:type="dxa"/>
              <w:right w:w="40" w:type="dxa"/>
            </w:tcMar>
            <w:vAlign w:val="center"/>
            <w:hideMark/>
          </w:tcPr>
          <w:p w14:paraId="652F0FE0" w14:textId="77777777" w:rsidR="00A029FC" w:rsidRDefault="00A029FC">
            <w:pPr>
              <w:pStyle w:val="NormalWeb"/>
              <w:spacing w:before="0" w:beforeAutospacing="0" w:after="0" w:afterAutospacing="0"/>
              <w:jc w:val="center"/>
            </w:pPr>
            <w:r>
              <w:rPr>
                <w:rFonts w:ascii="Arial" w:hAnsi="Arial" w:cs="Arial"/>
                <w:color w:val="000000"/>
                <w:sz w:val="20"/>
                <w:szCs w:val="20"/>
              </w:rPr>
              <w:t>1053 (1,59%)</w:t>
            </w:r>
          </w:p>
        </w:tc>
        <w:tc>
          <w:tcPr>
            <w:tcW w:w="0" w:type="auto"/>
            <w:tcMar>
              <w:top w:w="40" w:type="dxa"/>
              <w:left w:w="40" w:type="dxa"/>
              <w:bottom w:w="40" w:type="dxa"/>
              <w:right w:w="40" w:type="dxa"/>
            </w:tcMar>
            <w:vAlign w:val="center"/>
            <w:hideMark/>
          </w:tcPr>
          <w:p w14:paraId="5980E5EF" w14:textId="77777777" w:rsidR="00A029FC" w:rsidRDefault="00A029FC">
            <w:pPr>
              <w:pStyle w:val="NormalWeb"/>
              <w:spacing w:before="0" w:beforeAutospacing="0" w:after="0" w:afterAutospacing="0"/>
              <w:jc w:val="center"/>
            </w:pPr>
            <w:r>
              <w:rPr>
                <w:rFonts w:ascii="Arial" w:hAnsi="Arial" w:cs="Arial"/>
                <w:color w:val="000000"/>
                <w:sz w:val="20"/>
                <w:szCs w:val="20"/>
              </w:rPr>
              <w:t>1090 (0,98%)</w:t>
            </w:r>
          </w:p>
        </w:tc>
        <w:tc>
          <w:tcPr>
            <w:tcW w:w="0" w:type="auto"/>
            <w:tcMar>
              <w:top w:w="40" w:type="dxa"/>
              <w:left w:w="40" w:type="dxa"/>
              <w:bottom w:w="40" w:type="dxa"/>
              <w:right w:w="40" w:type="dxa"/>
            </w:tcMar>
            <w:vAlign w:val="center"/>
            <w:hideMark/>
          </w:tcPr>
          <w:p w14:paraId="4101DF56" w14:textId="77777777" w:rsidR="00A029FC" w:rsidRDefault="00A029FC">
            <w:pPr>
              <w:pStyle w:val="NormalWeb"/>
              <w:spacing w:before="0" w:beforeAutospacing="0" w:after="0" w:afterAutospacing="0"/>
              <w:jc w:val="center"/>
            </w:pPr>
            <w:r>
              <w:rPr>
                <w:rFonts w:ascii="Arial" w:hAnsi="Arial" w:cs="Arial"/>
                <w:color w:val="000000"/>
                <w:sz w:val="20"/>
                <w:szCs w:val="20"/>
              </w:rPr>
              <w:t>171 (0,55%)</w:t>
            </w:r>
          </w:p>
        </w:tc>
        <w:tc>
          <w:tcPr>
            <w:tcW w:w="0" w:type="auto"/>
            <w:tcMar>
              <w:top w:w="40" w:type="dxa"/>
              <w:left w:w="40" w:type="dxa"/>
              <w:bottom w:w="40" w:type="dxa"/>
              <w:right w:w="40" w:type="dxa"/>
            </w:tcMar>
            <w:vAlign w:val="center"/>
            <w:hideMark/>
          </w:tcPr>
          <w:p w14:paraId="7FE1B417" w14:textId="77777777" w:rsidR="00A029FC" w:rsidRDefault="00A029FC">
            <w:pPr>
              <w:pStyle w:val="NormalWeb"/>
              <w:spacing w:before="0" w:beforeAutospacing="0" w:after="0" w:afterAutospacing="0"/>
              <w:jc w:val="center"/>
            </w:pPr>
            <w:r>
              <w:rPr>
                <w:rFonts w:ascii="Arial" w:hAnsi="Arial" w:cs="Arial"/>
                <w:color w:val="000000"/>
                <w:sz w:val="20"/>
                <w:szCs w:val="20"/>
              </w:rPr>
              <w:t>240 (1,96%)</w:t>
            </w:r>
          </w:p>
        </w:tc>
        <w:tc>
          <w:tcPr>
            <w:tcW w:w="0" w:type="auto"/>
            <w:tcMar>
              <w:top w:w="40" w:type="dxa"/>
              <w:left w:w="40" w:type="dxa"/>
              <w:bottom w:w="40" w:type="dxa"/>
              <w:right w:w="40" w:type="dxa"/>
            </w:tcMar>
            <w:vAlign w:val="center"/>
            <w:hideMark/>
          </w:tcPr>
          <w:p w14:paraId="10C6CBFF" w14:textId="77777777" w:rsidR="00A029FC" w:rsidRDefault="00A029FC">
            <w:pPr>
              <w:pStyle w:val="NormalWeb"/>
              <w:spacing w:before="0" w:beforeAutospacing="0" w:after="0" w:afterAutospacing="0"/>
              <w:jc w:val="center"/>
            </w:pPr>
            <w:r>
              <w:rPr>
                <w:rFonts w:ascii="Arial" w:hAnsi="Arial" w:cs="Arial"/>
                <w:color w:val="000000"/>
                <w:sz w:val="20"/>
                <w:szCs w:val="20"/>
              </w:rPr>
              <w:t>2774 (1,19%)</w:t>
            </w:r>
          </w:p>
        </w:tc>
      </w:tr>
      <w:tr w:rsidR="00A029FC" w14:paraId="22152FB6" w14:textId="77777777" w:rsidTr="00A029FC">
        <w:trPr>
          <w:trHeight w:val="315"/>
        </w:trPr>
        <w:tc>
          <w:tcPr>
            <w:tcW w:w="0" w:type="auto"/>
            <w:tcMar>
              <w:top w:w="40" w:type="dxa"/>
              <w:left w:w="40" w:type="dxa"/>
              <w:bottom w:w="40" w:type="dxa"/>
              <w:right w:w="40" w:type="dxa"/>
            </w:tcMar>
            <w:vAlign w:val="center"/>
            <w:hideMark/>
          </w:tcPr>
          <w:p w14:paraId="7149034E" w14:textId="77777777" w:rsidR="00A029FC" w:rsidRDefault="00A029FC">
            <w:pPr>
              <w:pStyle w:val="NormalWeb"/>
              <w:spacing w:before="0" w:beforeAutospacing="0" w:after="0" w:afterAutospacing="0"/>
              <w:jc w:val="center"/>
            </w:pPr>
            <w:r>
              <w:rPr>
                <w:rFonts w:ascii="Arial" w:hAnsi="Arial" w:cs="Arial"/>
                <w:b/>
                <w:bCs/>
                <w:color w:val="000000"/>
                <w:sz w:val="20"/>
                <w:szCs w:val="20"/>
              </w:rPr>
              <w:t>Indígena</w:t>
            </w:r>
          </w:p>
        </w:tc>
        <w:tc>
          <w:tcPr>
            <w:tcW w:w="0" w:type="auto"/>
            <w:tcMar>
              <w:top w:w="40" w:type="dxa"/>
              <w:left w:w="40" w:type="dxa"/>
              <w:bottom w:w="40" w:type="dxa"/>
              <w:right w:w="40" w:type="dxa"/>
            </w:tcMar>
            <w:vAlign w:val="center"/>
            <w:hideMark/>
          </w:tcPr>
          <w:p w14:paraId="1910CB96" w14:textId="77777777" w:rsidR="00A029FC" w:rsidRDefault="00A029FC">
            <w:pPr>
              <w:pStyle w:val="NormalWeb"/>
              <w:spacing w:before="0" w:beforeAutospacing="0" w:after="0" w:afterAutospacing="0"/>
              <w:jc w:val="center"/>
            </w:pPr>
            <w:r>
              <w:rPr>
                <w:rFonts w:ascii="Arial" w:hAnsi="Arial" w:cs="Arial"/>
                <w:color w:val="000000"/>
                <w:sz w:val="20"/>
                <w:szCs w:val="20"/>
              </w:rPr>
              <w:t>197 (1,56%)</w:t>
            </w:r>
          </w:p>
        </w:tc>
        <w:tc>
          <w:tcPr>
            <w:tcW w:w="0" w:type="auto"/>
            <w:tcMar>
              <w:top w:w="40" w:type="dxa"/>
              <w:left w:w="40" w:type="dxa"/>
              <w:bottom w:w="40" w:type="dxa"/>
              <w:right w:w="40" w:type="dxa"/>
            </w:tcMar>
            <w:vAlign w:val="center"/>
            <w:hideMark/>
          </w:tcPr>
          <w:p w14:paraId="345F03E6" w14:textId="77777777" w:rsidR="00A029FC" w:rsidRDefault="00A029FC">
            <w:pPr>
              <w:pStyle w:val="NormalWeb"/>
              <w:spacing w:before="0" w:beforeAutospacing="0" w:after="0" w:afterAutospacing="0"/>
              <w:jc w:val="center"/>
            </w:pPr>
            <w:r>
              <w:rPr>
                <w:rFonts w:ascii="Arial" w:hAnsi="Arial" w:cs="Arial"/>
                <w:color w:val="000000"/>
                <w:sz w:val="20"/>
                <w:szCs w:val="20"/>
              </w:rPr>
              <w:t>34 (0,05%)</w:t>
            </w:r>
          </w:p>
        </w:tc>
        <w:tc>
          <w:tcPr>
            <w:tcW w:w="0" w:type="auto"/>
            <w:tcMar>
              <w:top w:w="40" w:type="dxa"/>
              <w:left w:w="40" w:type="dxa"/>
              <w:bottom w:w="40" w:type="dxa"/>
              <w:right w:w="40" w:type="dxa"/>
            </w:tcMar>
            <w:vAlign w:val="center"/>
            <w:hideMark/>
          </w:tcPr>
          <w:p w14:paraId="3C255031" w14:textId="77777777" w:rsidR="00A029FC" w:rsidRDefault="00A029FC">
            <w:pPr>
              <w:pStyle w:val="NormalWeb"/>
              <w:spacing w:before="0" w:beforeAutospacing="0" w:after="0" w:afterAutospacing="0"/>
              <w:jc w:val="center"/>
            </w:pPr>
            <w:r>
              <w:rPr>
                <w:rFonts w:ascii="Arial" w:hAnsi="Arial" w:cs="Arial"/>
                <w:color w:val="000000"/>
                <w:sz w:val="20"/>
                <w:szCs w:val="20"/>
              </w:rPr>
              <w:t>47 (0,04%)</w:t>
            </w:r>
          </w:p>
        </w:tc>
        <w:tc>
          <w:tcPr>
            <w:tcW w:w="0" w:type="auto"/>
            <w:tcMar>
              <w:top w:w="40" w:type="dxa"/>
              <w:left w:w="40" w:type="dxa"/>
              <w:bottom w:w="40" w:type="dxa"/>
              <w:right w:w="40" w:type="dxa"/>
            </w:tcMar>
            <w:vAlign w:val="center"/>
            <w:hideMark/>
          </w:tcPr>
          <w:p w14:paraId="7E824622" w14:textId="77777777" w:rsidR="00A029FC" w:rsidRDefault="00A029FC">
            <w:pPr>
              <w:pStyle w:val="NormalWeb"/>
              <w:spacing w:before="0" w:beforeAutospacing="0" w:after="0" w:afterAutospacing="0"/>
              <w:jc w:val="center"/>
            </w:pPr>
            <w:r>
              <w:rPr>
                <w:rFonts w:ascii="Arial" w:hAnsi="Arial" w:cs="Arial"/>
                <w:color w:val="000000"/>
                <w:sz w:val="20"/>
                <w:szCs w:val="20"/>
              </w:rPr>
              <w:t>33 (0,11%)</w:t>
            </w:r>
          </w:p>
        </w:tc>
        <w:tc>
          <w:tcPr>
            <w:tcW w:w="0" w:type="auto"/>
            <w:tcMar>
              <w:top w:w="40" w:type="dxa"/>
              <w:left w:w="40" w:type="dxa"/>
              <w:bottom w:w="40" w:type="dxa"/>
              <w:right w:w="40" w:type="dxa"/>
            </w:tcMar>
            <w:vAlign w:val="center"/>
            <w:hideMark/>
          </w:tcPr>
          <w:p w14:paraId="66C97A7D" w14:textId="77777777" w:rsidR="00A029FC" w:rsidRDefault="00A029FC">
            <w:pPr>
              <w:pStyle w:val="NormalWeb"/>
              <w:spacing w:before="0" w:beforeAutospacing="0" w:after="0" w:afterAutospacing="0"/>
              <w:jc w:val="center"/>
            </w:pPr>
            <w:r>
              <w:rPr>
                <w:rFonts w:ascii="Arial" w:hAnsi="Arial" w:cs="Arial"/>
                <w:color w:val="000000"/>
                <w:sz w:val="20"/>
                <w:szCs w:val="20"/>
              </w:rPr>
              <w:t>250 (2,04%)</w:t>
            </w:r>
          </w:p>
        </w:tc>
        <w:tc>
          <w:tcPr>
            <w:tcW w:w="0" w:type="auto"/>
            <w:tcMar>
              <w:top w:w="40" w:type="dxa"/>
              <w:left w:w="40" w:type="dxa"/>
              <w:bottom w:w="40" w:type="dxa"/>
              <w:right w:w="40" w:type="dxa"/>
            </w:tcMar>
            <w:vAlign w:val="center"/>
            <w:hideMark/>
          </w:tcPr>
          <w:p w14:paraId="5A6CFC3A" w14:textId="77777777" w:rsidR="00A029FC" w:rsidRDefault="00A029FC">
            <w:pPr>
              <w:pStyle w:val="NormalWeb"/>
              <w:spacing w:before="0" w:beforeAutospacing="0" w:after="0" w:afterAutospacing="0"/>
              <w:jc w:val="center"/>
            </w:pPr>
            <w:r>
              <w:rPr>
                <w:rFonts w:ascii="Arial" w:hAnsi="Arial" w:cs="Arial"/>
                <w:color w:val="000000"/>
                <w:sz w:val="20"/>
                <w:szCs w:val="20"/>
              </w:rPr>
              <w:t>561 (0,24%)</w:t>
            </w:r>
          </w:p>
        </w:tc>
      </w:tr>
      <w:tr w:rsidR="00A029FC" w14:paraId="56C0E40A" w14:textId="77777777" w:rsidTr="00A029FC">
        <w:trPr>
          <w:trHeight w:val="525"/>
        </w:trPr>
        <w:tc>
          <w:tcPr>
            <w:tcW w:w="0" w:type="auto"/>
            <w:tcBorders>
              <w:bottom w:val="single" w:sz="6" w:space="0" w:color="000000"/>
            </w:tcBorders>
            <w:tcMar>
              <w:top w:w="40" w:type="dxa"/>
              <w:left w:w="40" w:type="dxa"/>
              <w:bottom w:w="40" w:type="dxa"/>
              <w:right w:w="40" w:type="dxa"/>
            </w:tcMar>
            <w:vAlign w:val="center"/>
            <w:hideMark/>
          </w:tcPr>
          <w:p w14:paraId="21D42F83" w14:textId="77777777" w:rsidR="00A029FC" w:rsidRDefault="00A029FC">
            <w:pPr>
              <w:pStyle w:val="NormalWeb"/>
              <w:spacing w:before="0" w:beforeAutospacing="0" w:after="0" w:afterAutospacing="0"/>
              <w:jc w:val="center"/>
            </w:pPr>
            <w:r>
              <w:rPr>
                <w:rFonts w:ascii="Arial" w:hAnsi="Arial" w:cs="Arial"/>
                <w:b/>
                <w:bCs/>
                <w:color w:val="000000"/>
                <w:sz w:val="20"/>
                <w:szCs w:val="20"/>
              </w:rPr>
              <w:t>Sem Informação</w:t>
            </w:r>
          </w:p>
        </w:tc>
        <w:tc>
          <w:tcPr>
            <w:tcW w:w="0" w:type="auto"/>
            <w:tcBorders>
              <w:bottom w:val="single" w:sz="6" w:space="0" w:color="000000"/>
            </w:tcBorders>
            <w:tcMar>
              <w:top w:w="40" w:type="dxa"/>
              <w:left w:w="40" w:type="dxa"/>
              <w:bottom w:w="40" w:type="dxa"/>
              <w:right w:w="40" w:type="dxa"/>
            </w:tcMar>
            <w:vAlign w:val="center"/>
            <w:hideMark/>
          </w:tcPr>
          <w:p w14:paraId="642F789F" w14:textId="77777777" w:rsidR="00A029FC" w:rsidRDefault="00A029FC">
            <w:pPr>
              <w:pStyle w:val="NormalWeb"/>
              <w:spacing w:before="0" w:beforeAutospacing="0" w:after="0" w:afterAutospacing="0"/>
              <w:jc w:val="center"/>
            </w:pPr>
            <w:r>
              <w:rPr>
                <w:rFonts w:ascii="Arial" w:hAnsi="Arial" w:cs="Arial"/>
                <w:color w:val="000000"/>
                <w:sz w:val="20"/>
                <w:szCs w:val="20"/>
              </w:rPr>
              <w:t>4342 (34,32%)</w:t>
            </w:r>
          </w:p>
        </w:tc>
        <w:tc>
          <w:tcPr>
            <w:tcW w:w="0" w:type="auto"/>
            <w:tcBorders>
              <w:bottom w:val="single" w:sz="6" w:space="0" w:color="000000"/>
            </w:tcBorders>
            <w:tcMar>
              <w:top w:w="40" w:type="dxa"/>
              <w:left w:w="40" w:type="dxa"/>
              <w:bottom w:w="40" w:type="dxa"/>
              <w:right w:w="40" w:type="dxa"/>
            </w:tcMar>
            <w:vAlign w:val="center"/>
            <w:hideMark/>
          </w:tcPr>
          <w:p w14:paraId="0C336945" w14:textId="77777777" w:rsidR="00A029FC" w:rsidRDefault="00A029FC">
            <w:pPr>
              <w:pStyle w:val="NormalWeb"/>
              <w:spacing w:before="0" w:beforeAutospacing="0" w:after="0" w:afterAutospacing="0"/>
              <w:jc w:val="center"/>
            </w:pPr>
            <w:r>
              <w:rPr>
                <w:rFonts w:ascii="Arial" w:hAnsi="Arial" w:cs="Arial"/>
                <w:color w:val="000000"/>
                <w:sz w:val="20"/>
                <w:szCs w:val="20"/>
              </w:rPr>
              <w:t>25134 (38,05%</w:t>
            </w:r>
          </w:p>
        </w:tc>
        <w:tc>
          <w:tcPr>
            <w:tcW w:w="0" w:type="auto"/>
            <w:tcBorders>
              <w:bottom w:val="single" w:sz="6" w:space="0" w:color="000000"/>
            </w:tcBorders>
            <w:tcMar>
              <w:top w:w="40" w:type="dxa"/>
              <w:left w:w="40" w:type="dxa"/>
              <w:bottom w:w="40" w:type="dxa"/>
              <w:right w:w="40" w:type="dxa"/>
            </w:tcMar>
            <w:vAlign w:val="center"/>
            <w:hideMark/>
          </w:tcPr>
          <w:p w14:paraId="2B5A390F" w14:textId="77777777" w:rsidR="00A029FC" w:rsidRDefault="00A029FC">
            <w:pPr>
              <w:pStyle w:val="NormalWeb"/>
              <w:spacing w:before="0" w:beforeAutospacing="0" w:after="0" w:afterAutospacing="0"/>
              <w:jc w:val="center"/>
            </w:pPr>
            <w:r>
              <w:rPr>
                <w:rFonts w:ascii="Arial" w:hAnsi="Arial" w:cs="Arial"/>
                <w:color w:val="000000"/>
                <w:sz w:val="20"/>
                <w:szCs w:val="20"/>
              </w:rPr>
              <w:t>25228 (22,65%)</w:t>
            </w:r>
          </w:p>
        </w:tc>
        <w:tc>
          <w:tcPr>
            <w:tcW w:w="0" w:type="auto"/>
            <w:tcBorders>
              <w:bottom w:val="single" w:sz="6" w:space="0" w:color="000000"/>
            </w:tcBorders>
            <w:tcMar>
              <w:top w:w="40" w:type="dxa"/>
              <w:left w:w="40" w:type="dxa"/>
              <w:bottom w:w="40" w:type="dxa"/>
              <w:right w:w="40" w:type="dxa"/>
            </w:tcMar>
            <w:vAlign w:val="center"/>
            <w:hideMark/>
          </w:tcPr>
          <w:p w14:paraId="3F4BC8BE" w14:textId="77777777" w:rsidR="00A029FC" w:rsidRDefault="00A029FC">
            <w:pPr>
              <w:pStyle w:val="NormalWeb"/>
              <w:spacing w:before="0" w:beforeAutospacing="0" w:after="0" w:afterAutospacing="0"/>
              <w:jc w:val="center"/>
            </w:pPr>
            <w:r>
              <w:rPr>
                <w:rFonts w:ascii="Arial" w:hAnsi="Arial" w:cs="Arial"/>
                <w:color w:val="000000"/>
                <w:sz w:val="20"/>
                <w:szCs w:val="20"/>
              </w:rPr>
              <w:t>5351 (17,08%)</w:t>
            </w:r>
          </w:p>
        </w:tc>
        <w:tc>
          <w:tcPr>
            <w:tcW w:w="0" w:type="auto"/>
            <w:tcBorders>
              <w:bottom w:val="single" w:sz="6" w:space="0" w:color="000000"/>
            </w:tcBorders>
            <w:tcMar>
              <w:top w:w="40" w:type="dxa"/>
              <w:left w:w="40" w:type="dxa"/>
              <w:bottom w:w="40" w:type="dxa"/>
              <w:right w:w="40" w:type="dxa"/>
            </w:tcMar>
            <w:vAlign w:val="center"/>
            <w:hideMark/>
          </w:tcPr>
          <w:p w14:paraId="59610820" w14:textId="77777777" w:rsidR="00A029FC" w:rsidRDefault="00A029FC">
            <w:pPr>
              <w:pStyle w:val="NormalWeb"/>
              <w:spacing w:before="0" w:beforeAutospacing="0" w:after="0" w:afterAutospacing="0"/>
              <w:jc w:val="center"/>
            </w:pPr>
            <w:r>
              <w:rPr>
                <w:rFonts w:ascii="Arial" w:hAnsi="Arial" w:cs="Arial"/>
                <w:color w:val="000000"/>
                <w:sz w:val="20"/>
                <w:szCs w:val="20"/>
              </w:rPr>
              <w:t>3919 (32,00%)</w:t>
            </w:r>
          </w:p>
        </w:tc>
        <w:tc>
          <w:tcPr>
            <w:tcW w:w="0" w:type="auto"/>
            <w:tcBorders>
              <w:bottom w:val="single" w:sz="6" w:space="0" w:color="000000"/>
            </w:tcBorders>
            <w:tcMar>
              <w:top w:w="40" w:type="dxa"/>
              <w:left w:w="40" w:type="dxa"/>
              <w:bottom w:w="40" w:type="dxa"/>
              <w:right w:w="40" w:type="dxa"/>
            </w:tcMar>
            <w:vAlign w:val="center"/>
            <w:hideMark/>
          </w:tcPr>
          <w:p w14:paraId="7A818B10" w14:textId="77777777" w:rsidR="00A029FC" w:rsidRDefault="00A029FC">
            <w:pPr>
              <w:pStyle w:val="NormalWeb"/>
              <w:spacing w:before="0" w:beforeAutospacing="0" w:after="0" w:afterAutospacing="0"/>
              <w:jc w:val="center"/>
            </w:pPr>
            <w:r>
              <w:rPr>
                <w:rFonts w:ascii="Arial" w:hAnsi="Arial" w:cs="Arial"/>
                <w:color w:val="000000"/>
                <w:sz w:val="20"/>
                <w:szCs w:val="20"/>
              </w:rPr>
              <w:t>63974 (27,38%)</w:t>
            </w:r>
          </w:p>
        </w:tc>
      </w:tr>
    </w:tbl>
    <w:p w14:paraId="0D14F152" w14:textId="77777777" w:rsidR="005A1116" w:rsidRDefault="005A1116" w:rsidP="005A1116">
      <w:pPr>
        <w:rPr>
          <w:rFonts w:ascii="Arial" w:hAnsi="Arial" w:cs="Arial"/>
          <w:b/>
          <w:color w:val="FFFFFF" w:themeColor="background1"/>
        </w:rPr>
      </w:pPr>
    </w:p>
    <w:p w14:paraId="5C131D96" w14:textId="06768D3C"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018DCD40" w14:textId="25479E63" w:rsidR="006B1BC3" w:rsidRDefault="006B1BC3" w:rsidP="006B1BC3">
      <w:pPr>
        <w:pStyle w:val="NormalWeb"/>
        <w:spacing w:before="240" w:beforeAutospacing="0" w:after="240" w:afterAutospacing="0" w:line="360" w:lineRule="auto"/>
        <w:ind w:firstLine="708"/>
        <w:jc w:val="both"/>
      </w:pPr>
      <w:r>
        <w:rPr>
          <w:rFonts w:ascii="Arial" w:hAnsi="Arial" w:cs="Arial"/>
          <w:color w:val="000000"/>
          <w:shd w:val="clear" w:color="auto" w:fill="FFFFFF"/>
        </w:rPr>
        <w:t xml:space="preserve">Os resultados deste estudo revelam que a mortalidade por doenças endócrinas, nutricionais e metabólicas no Brasil, entre 2009 e 2024, </w:t>
      </w:r>
      <w:r w:rsidR="00F2776A">
        <w:rPr>
          <w:rFonts w:ascii="Arial" w:hAnsi="Arial" w:cs="Arial"/>
          <w:color w:val="000000"/>
          <w:shd w:val="clear" w:color="auto" w:fill="FFFFFF"/>
        </w:rPr>
        <w:t>foram</w:t>
      </w:r>
      <w:r>
        <w:rPr>
          <w:rFonts w:ascii="Arial" w:hAnsi="Arial" w:cs="Arial"/>
          <w:color w:val="000000"/>
          <w:shd w:val="clear" w:color="auto" w:fill="FFFFFF"/>
        </w:rPr>
        <w:t xml:space="preserve"> predominantemente impulsionada por duas condições: o diabetes mellitus, responsável por 41,7% dos óbitos, e </w:t>
      </w:r>
      <w:r>
        <w:rPr>
          <w:rFonts w:ascii="Arial" w:hAnsi="Arial" w:cs="Arial"/>
          <w:color w:val="000000"/>
          <w:shd w:val="clear" w:color="auto" w:fill="FFFFFF"/>
        </w:rPr>
        <w:lastRenderedPageBreak/>
        <w:t>a desnutrição, com 35,3%. Este padrão é notavelmente consistente com achados em nível regional, como no estado do Paraná, onde diabetes (42,6%) e desnutrição (35,7%) também foram as principais cau</w:t>
      </w:r>
      <w:r w:rsidR="009E7765">
        <w:rPr>
          <w:rFonts w:ascii="Arial" w:hAnsi="Arial" w:cs="Arial"/>
          <w:color w:val="000000"/>
          <w:shd w:val="clear" w:color="auto" w:fill="FFFFFF"/>
        </w:rPr>
        <w:t>sas de morte em período recente.</w:t>
      </w:r>
      <w:r w:rsidR="009E7765">
        <w:rPr>
          <w:rFonts w:ascii="Arial" w:hAnsi="Arial" w:cs="Arial"/>
          <w:color w:val="000000"/>
          <w:shd w:val="clear" w:color="auto" w:fill="FFFFFF"/>
          <w:vertAlign w:val="superscript"/>
        </w:rPr>
        <w:t>11</w:t>
      </w:r>
      <w:r w:rsidR="009E7765">
        <w:rPr>
          <w:rFonts w:ascii="Arial" w:hAnsi="Arial" w:cs="Arial"/>
          <w:color w:val="000000"/>
          <w:shd w:val="clear" w:color="auto" w:fill="FFFFFF"/>
        </w:rPr>
        <w:t xml:space="preserve"> </w:t>
      </w:r>
      <w:r>
        <w:rPr>
          <w:rFonts w:ascii="Arial" w:hAnsi="Arial" w:cs="Arial"/>
          <w:color w:val="000000"/>
          <w:shd w:val="clear" w:color="auto" w:fill="FFFFFF"/>
        </w:rPr>
        <w:t xml:space="preserve">A primazia do diabetes mellitus corrobora </w:t>
      </w:r>
      <w:r w:rsidR="005A1116">
        <w:rPr>
          <w:rFonts w:ascii="Arial" w:hAnsi="Arial" w:cs="Arial"/>
          <w:color w:val="000000"/>
          <w:shd w:val="clear" w:color="auto" w:fill="FFFFFF"/>
        </w:rPr>
        <w:t>com</w:t>
      </w:r>
      <w:r>
        <w:rPr>
          <w:rFonts w:ascii="Arial" w:hAnsi="Arial" w:cs="Arial"/>
          <w:color w:val="000000"/>
          <w:shd w:val="clear" w:color="auto" w:fill="FFFFFF"/>
        </w:rPr>
        <w:t xml:space="preserve"> vasta literatura que o identifica como o componente mais letal do grupo DENM</w:t>
      </w:r>
      <w:r w:rsidR="00FB75D5">
        <w:rPr>
          <w:rFonts w:ascii="Arial" w:hAnsi="Arial" w:cs="Arial"/>
          <w:color w:val="000000"/>
          <w:shd w:val="clear" w:color="auto" w:fill="FFFFFF"/>
        </w:rPr>
        <w:t xml:space="preserve">. </w:t>
      </w:r>
      <w:r w:rsidR="00FB75D5">
        <w:rPr>
          <w:rFonts w:ascii="Arial" w:hAnsi="Arial" w:cs="Arial"/>
          <w:color w:val="000000"/>
          <w:shd w:val="clear" w:color="auto" w:fill="FFFFFF"/>
          <w:vertAlign w:val="superscript"/>
        </w:rPr>
        <w:t>3-</w:t>
      </w:r>
      <w:r w:rsidR="009E7765">
        <w:rPr>
          <w:rFonts w:ascii="Arial" w:hAnsi="Arial" w:cs="Arial"/>
          <w:color w:val="000000"/>
          <w:shd w:val="clear" w:color="auto" w:fill="FFFFFF"/>
          <w:vertAlign w:val="superscript"/>
        </w:rPr>
        <w:t>12</w:t>
      </w:r>
      <w:r w:rsidR="00FB75D5">
        <w:rPr>
          <w:rFonts w:ascii="Arial" w:hAnsi="Arial" w:cs="Arial"/>
          <w:color w:val="000000"/>
          <w:shd w:val="clear" w:color="auto" w:fill="FFFFFF"/>
          <w:vertAlign w:val="superscript"/>
        </w:rPr>
        <w:t>,13</w:t>
      </w:r>
    </w:p>
    <w:p w14:paraId="6B49B437" w14:textId="11BA2F33" w:rsidR="006B1BC3" w:rsidRPr="009B125A" w:rsidRDefault="006B1BC3" w:rsidP="006B1BC3">
      <w:pPr>
        <w:pStyle w:val="NormalWeb"/>
        <w:spacing w:before="240" w:beforeAutospacing="0" w:after="240" w:afterAutospacing="0" w:line="360" w:lineRule="auto"/>
        <w:ind w:firstLine="708"/>
        <w:jc w:val="both"/>
        <w:rPr>
          <w:vertAlign w:val="superscript"/>
        </w:rPr>
      </w:pPr>
      <w:r>
        <w:rPr>
          <w:rFonts w:ascii="Arial" w:hAnsi="Arial" w:cs="Arial"/>
          <w:color w:val="000000"/>
          <w:shd w:val="clear" w:color="auto" w:fill="FFFFFF"/>
        </w:rPr>
        <w:t xml:space="preserve">A magnitude da mortalidade por diabetes reflete </w:t>
      </w:r>
      <w:r w:rsidR="00F2776A">
        <w:rPr>
          <w:rFonts w:ascii="Arial" w:hAnsi="Arial" w:cs="Arial"/>
          <w:color w:val="000000"/>
          <w:shd w:val="clear" w:color="auto" w:fill="FFFFFF"/>
        </w:rPr>
        <w:t>a</w:t>
      </w:r>
      <w:r>
        <w:rPr>
          <w:rFonts w:ascii="Arial" w:hAnsi="Arial" w:cs="Arial"/>
          <w:color w:val="000000"/>
          <w:shd w:val="clear" w:color="auto" w:fill="FFFFFF"/>
        </w:rPr>
        <w:t xml:space="preserve"> crise de saúde pública crescente, impulsionada pelo aumento da prevalência da doença, que passou de 5,5% em 2006 para 7,4% em 2019, e por fatores de risco como a obesidade, que cresceu de 13,9% para 19,8% no me</w:t>
      </w:r>
      <w:r w:rsidR="00FB75D5">
        <w:rPr>
          <w:rFonts w:ascii="Arial" w:hAnsi="Arial" w:cs="Arial"/>
          <w:color w:val="000000"/>
          <w:shd w:val="clear" w:color="auto" w:fill="FFFFFF"/>
        </w:rPr>
        <w:t>smo período</w:t>
      </w:r>
      <w:r>
        <w:rPr>
          <w:rFonts w:ascii="Arial" w:hAnsi="Arial" w:cs="Arial"/>
          <w:color w:val="000000"/>
          <w:shd w:val="clear" w:color="auto" w:fill="FFFFFF"/>
        </w:rPr>
        <w:t>.</w:t>
      </w:r>
      <w:r w:rsidR="00FB75D5">
        <w:rPr>
          <w:rFonts w:ascii="Arial" w:hAnsi="Arial" w:cs="Arial"/>
          <w:color w:val="000000"/>
          <w:shd w:val="clear" w:color="auto" w:fill="FFFFFF"/>
          <w:vertAlign w:val="superscript"/>
        </w:rPr>
        <w:t>2</w:t>
      </w:r>
      <w:r>
        <w:rPr>
          <w:rFonts w:ascii="Arial" w:hAnsi="Arial" w:cs="Arial"/>
          <w:color w:val="000000"/>
          <w:shd w:val="clear" w:color="auto" w:fill="FFFFFF"/>
        </w:rPr>
        <w:t xml:space="preserve"> Projeções indicam que a situação tende a se agravar drasticamente, com a carga de mortalidade por diabetes podendo aumentar 144% até 2040, tornando-a a terceira principal causa de mor</w:t>
      </w:r>
      <w:r w:rsidR="009B125A">
        <w:rPr>
          <w:rFonts w:ascii="Arial" w:hAnsi="Arial" w:cs="Arial"/>
          <w:color w:val="000000"/>
          <w:shd w:val="clear" w:color="auto" w:fill="FFFFFF"/>
        </w:rPr>
        <w:t>te no país</w:t>
      </w:r>
      <w:r w:rsidR="009B125A">
        <w:rPr>
          <w:rFonts w:ascii="Arial" w:hAnsi="Arial" w:cs="Arial"/>
          <w:color w:val="000000"/>
          <w:shd w:val="clear" w:color="auto" w:fill="FFFFFF"/>
          <w:vertAlign w:val="superscript"/>
        </w:rPr>
        <w:t>6</w:t>
      </w:r>
      <w:r>
        <w:rPr>
          <w:rFonts w:ascii="Arial" w:hAnsi="Arial" w:cs="Arial"/>
          <w:color w:val="000000"/>
          <w:shd w:val="clear" w:color="auto" w:fill="FFFFFF"/>
        </w:rPr>
        <w:t xml:space="preserve">, e o número de pessoas com a doença podendo aumentar quase 400% entre </w:t>
      </w:r>
      <w:r w:rsidR="009B125A">
        <w:rPr>
          <w:rFonts w:ascii="Arial" w:hAnsi="Arial" w:cs="Arial"/>
          <w:color w:val="000000"/>
          <w:shd w:val="clear" w:color="auto" w:fill="FFFFFF"/>
        </w:rPr>
        <w:t>2006 e 2036</w:t>
      </w:r>
      <w:r>
        <w:rPr>
          <w:rFonts w:ascii="Arial" w:hAnsi="Arial" w:cs="Arial"/>
          <w:color w:val="000000"/>
          <w:shd w:val="clear" w:color="auto" w:fill="FFFFFF"/>
        </w:rPr>
        <w:t>.</w:t>
      </w:r>
      <w:r w:rsidR="009B125A">
        <w:rPr>
          <w:rFonts w:ascii="Arial" w:hAnsi="Arial" w:cs="Arial"/>
          <w:color w:val="000000"/>
          <w:shd w:val="clear" w:color="auto" w:fill="FFFFFF"/>
          <w:vertAlign w:val="superscript"/>
        </w:rPr>
        <w:t>7</w:t>
      </w:r>
    </w:p>
    <w:p w14:paraId="725E8D39" w14:textId="1AF0C259" w:rsidR="006B1BC3" w:rsidRPr="003F310A" w:rsidRDefault="006B1BC3" w:rsidP="006B1BC3">
      <w:pPr>
        <w:pStyle w:val="NormalWeb"/>
        <w:spacing w:before="240" w:beforeAutospacing="0" w:after="240" w:afterAutospacing="0" w:line="360" w:lineRule="auto"/>
        <w:ind w:firstLine="708"/>
        <w:jc w:val="both"/>
        <w:rPr>
          <w:vertAlign w:val="superscript"/>
        </w:rPr>
      </w:pPr>
      <w:r>
        <w:rPr>
          <w:rFonts w:ascii="Arial" w:hAnsi="Arial" w:cs="Arial"/>
          <w:color w:val="000000"/>
          <w:shd w:val="clear" w:color="auto" w:fill="FFFFFF"/>
        </w:rPr>
        <w:t>Por outro lado, o peso expressivo da desnutrição como segunda causa de morte expõe o paradoxo da transição nutricional brasileira. Embora estudos de longa duração mostrem a tendência histórica de queda na mortalidade p</w:t>
      </w:r>
      <w:r w:rsidR="003F310A">
        <w:rPr>
          <w:rFonts w:ascii="Arial" w:hAnsi="Arial" w:cs="Arial"/>
          <w:color w:val="000000"/>
          <w:shd w:val="clear" w:color="auto" w:fill="FFFFFF"/>
        </w:rPr>
        <w:t>or desnutrição em idosos</w:t>
      </w:r>
      <w:r w:rsidR="003F310A">
        <w:rPr>
          <w:rFonts w:ascii="Arial" w:hAnsi="Arial" w:cs="Arial"/>
          <w:color w:val="000000"/>
          <w:shd w:val="clear" w:color="auto" w:fill="FFFFFF"/>
          <w:vertAlign w:val="superscript"/>
        </w:rPr>
        <w:t>14</w:t>
      </w:r>
      <w:r>
        <w:rPr>
          <w:rFonts w:ascii="Arial" w:hAnsi="Arial" w:cs="Arial"/>
          <w:color w:val="000000"/>
          <w:shd w:val="clear" w:color="auto" w:fill="FFFFFF"/>
        </w:rPr>
        <w:t>, os</w:t>
      </w:r>
      <w:r w:rsidR="005A1116">
        <w:rPr>
          <w:rFonts w:ascii="Arial" w:hAnsi="Arial" w:cs="Arial"/>
          <w:color w:val="000000"/>
          <w:shd w:val="clear" w:color="auto" w:fill="FFFFFF"/>
        </w:rPr>
        <w:t xml:space="preserve"> </w:t>
      </w:r>
      <w:r>
        <w:rPr>
          <w:rFonts w:ascii="Arial" w:hAnsi="Arial" w:cs="Arial"/>
          <w:color w:val="000000"/>
          <w:shd w:val="clear" w:color="auto" w:fill="FFFFFF"/>
        </w:rPr>
        <w:t xml:space="preserve">dados </w:t>
      </w:r>
      <w:r w:rsidR="005A1116">
        <w:rPr>
          <w:rFonts w:ascii="Arial" w:hAnsi="Arial" w:cs="Arial"/>
          <w:color w:val="000000"/>
          <w:shd w:val="clear" w:color="auto" w:fill="FFFFFF"/>
        </w:rPr>
        <w:t xml:space="preserve">desta pesquisa </w:t>
      </w:r>
      <w:r>
        <w:rPr>
          <w:rFonts w:ascii="Arial" w:hAnsi="Arial" w:cs="Arial"/>
          <w:color w:val="000000"/>
          <w:shd w:val="clear" w:color="auto" w:fill="FFFFFF"/>
        </w:rPr>
        <w:t xml:space="preserve">revelam </w:t>
      </w:r>
      <w:r w:rsidR="005A1116">
        <w:rPr>
          <w:rFonts w:ascii="Arial" w:hAnsi="Arial" w:cs="Arial"/>
          <w:color w:val="000000"/>
          <w:shd w:val="clear" w:color="auto" w:fill="FFFFFF"/>
        </w:rPr>
        <w:t>a</w:t>
      </w:r>
      <w:r>
        <w:rPr>
          <w:rFonts w:ascii="Arial" w:hAnsi="Arial" w:cs="Arial"/>
          <w:color w:val="000000"/>
          <w:shd w:val="clear" w:color="auto" w:fill="FFFFFF"/>
        </w:rPr>
        <w:t xml:space="preserve"> perman</w:t>
      </w:r>
      <w:r w:rsidR="005A1116">
        <w:rPr>
          <w:rFonts w:ascii="Arial" w:hAnsi="Arial" w:cs="Arial"/>
          <w:color w:val="000000"/>
          <w:shd w:val="clear" w:color="auto" w:fill="FFFFFF"/>
        </w:rPr>
        <w:t>ên</w:t>
      </w:r>
      <w:r>
        <w:rPr>
          <w:rFonts w:ascii="Arial" w:hAnsi="Arial" w:cs="Arial"/>
          <w:color w:val="000000"/>
          <w:shd w:val="clear" w:color="auto" w:fill="FFFFFF"/>
        </w:rPr>
        <w:t>c</w:t>
      </w:r>
      <w:r w:rsidR="005A1116">
        <w:rPr>
          <w:rFonts w:ascii="Arial" w:hAnsi="Arial" w:cs="Arial"/>
          <w:color w:val="000000"/>
          <w:shd w:val="clear" w:color="auto" w:fill="FFFFFF"/>
        </w:rPr>
        <w:t>ia</w:t>
      </w:r>
      <w:r>
        <w:rPr>
          <w:rFonts w:ascii="Arial" w:hAnsi="Arial" w:cs="Arial"/>
          <w:color w:val="000000"/>
          <w:shd w:val="clear" w:color="auto" w:fill="FFFFFF"/>
        </w:rPr>
        <w:t xml:space="preserve"> </w:t>
      </w:r>
      <w:r w:rsidR="005A1116">
        <w:rPr>
          <w:rFonts w:ascii="Arial" w:hAnsi="Arial" w:cs="Arial"/>
          <w:color w:val="000000"/>
          <w:shd w:val="clear" w:color="auto" w:fill="FFFFFF"/>
        </w:rPr>
        <w:t>desta problemática de elevada</w:t>
      </w:r>
      <w:r>
        <w:rPr>
          <w:rFonts w:ascii="Arial" w:hAnsi="Arial" w:cs="Arial"/>
          <w:color w:val="000000"/>
          <w:shd w:val="clear" w:color="auto" w:fill="FFFFFF"/>
        </w:rPr>
        <w:t xml:space="preserve"> magnitude. A desnutrição, longe de ser questão superada, continua a ceifar vidas, especialmente entre os mais vulneráveis, e sua taxa de mortalidade hospitalar é a mais alta entre as DENM, superand</w:t>
      </w:r>
      <w:r w:rsidR="003F310A">
        <w:rPr>
          <w:rFonts w:ascii="Arial" w:hAnsi="Arial" w:cs="Arial"/>
          <w:color w:val="000000"/>
          <w:shd w:val="clear" w:color="auto" w:fill="FFFFFF"/>
        </w:rPr>
        <w:t>o a do diabetes e da obesidade.</w:t>
      </w:r>
      <w:r w:rsidR="003F310A">
        <w:rPr>
          <w:rFonts w:ascii="Arial" w:hAnsi="Arial" w:cs="Arial"/>
          <w:color w:val="000000"/>
          <w:shd w:val="clear" w:color="auto" w:fill="FFFFFF"/>
          <w:vertAlign w:val="superscript"/>
        </w:rPr>
        <w:t>13</w:t>
      </w:r>
    </w:p>
    <w:p w14:paraId="70A9A0D7" w14:textId="3BA3D26A" w:rsidR="006B1BC3" w:rsidRDefault="006B1BC3" w:rsidP="006B1BC3">
      <w:pPr>
        <w:pStyle w:val="NormalWeb"/>
        <w:spacing w:before="240" w:beforeAutospacing="0" w:after="240" w:afterAutospacing="0" w:line="360" w:lineRule="auto"/>
        <w:ind w:firstLine="720"/>
        <w:jc w:val="both"/>
      </w:pPr>
      <w:r>
        <w:rPr>
          <w:rFonts w:ascii="Arial" w:hAnsi="Arial" w:cs="Arial"/>
          <w:color w:val="000000"/>
          <w:shd w:val="clear" w:color="auto" w:fill="FFFFFF"/>
        </w:rPr>
        <w:t xml:space="preserve">A análise geográfica concentrou a maior parte dos óbitos nas regiões Sudeste (47,7%) e Nordeste (28,3%), </w:t>
      </w:r>
      <w:r w:rsidR="006F2572">
        <w:rPr>
          <w:rFonts w:ascii="Arial" w:hAnsi="Arial" w:cs="Arial"/>
          <w:color w:val="000000"/>
          <w:shd w:val="clear" w:color="auto" w:fill="FFFFFF"/>
        </w:rPr>
        <w:t>corroborando com o</w:t>
      </w:r>
      <w:r>
        <w:rPr>
          <w:rFonts w:ascii="Arial" w:hAnsi="Arial" w:cs="Arial"/>
          <w:color w:val="000000"/>
          <w:shd w:val="clear" w:color="auto" w:fill="FFFFFF"/>
        </w:rPr>
        <w:t xml:space="preserve"> padrão alinhado a ou</w:t>
      </w:r>
      <w:r w:rsidR="000E6604">
        <w:rPr>
          <w:rFonts w:ascii="Arial" w:hAnsi="Arial" w:cs="Arial"/>
          <w:color w:val="000000"/>
          <w:shd w:val="clear" w:color="auto" w:fill="FFFFFF"/>
        </w:rPr>
        <w:t>tros estudos nacionais</w:t>
      </w:r>
      <w:r>
        <w:rPr>
          <w:rFonts w:ascii="Arial" w:hAnsi="Arial" w:cs="Arial"/>
          <w:color w:val="000000"/>
          <w:shd w:val="clear" w:color="auto" w:fill="FFFFFF"/>
        </w:rPr>
        <w:t>.</w:t>
      </w:r>
      <w:r w:rsidR="000E6604">
        <w:rPr>
          <w:rFonts w:ascii="Arial" w:hAnsi="Arial" w:cs="Arial"/>
          <w:color w:val="000000"/>
          <w:shd w:val="clear" w:color="auto" w:fill="FFFFFF"/>
          <w:vertAlign w:val="superscript"/>
        </w:rPr>
        <w:t>1-12</w:t>
      </w:r>
      <w:r>
        <w:rPr>
          <w:rFonts w:ascii="Arial" w:hAnsi="Arial" w:cs="Arial"/>
          <w:color w:val="000000"/>
          <w:shd w:val="clear" w:color="auto" w:fill="FFFFFF"/>
        </w:rPr>
        <w:t xml:space="preserve"> Essa distribuição, no entanto, mascara dinâmicas distintas. O Nordeste se destaca na literatura como o epicentro da desnutrição, liderando as internações infantis por esta </w:t>
      </w:r>
      <w:r w:rsidR="000E6604">
        <w:rPr>
          <w:rFonts w:ascii="Arial" w:hAnsi="Arial" w:cs="Arial"/>
          <w:color w:val="000000"/>
          <w:shd w:val="clear" w:color="auto" w:fill="FFFFFF"/>
        </w:rPr>
        <w:t>causa</w:t>
      </w:r>
      <w:r w:rsidR="000E6604">
        <w:rPr>
          <w:rFonts w:ascii="Arial" w:hAnsi="Arial" w:cs="Arial"/>
          <w:color w:val="000000"/>
          <w:shd w:val="clear" w:color="auto" w:fill="FFFFFF"/>
          <w:vertAlign w:val="superscript"/>
        </w:rPr>
        <w:t>8,9</w:t>
      </w:r>
      <w:r>
        <w:rPr>
          <w:rFonts w:ascii="Arial" w:hAnsi="Arial" w:cs="Arial"/>
          <w:color w:val="000000"/>
          <w:shd w:val="clear" w:color="auto" w:fill="FFFFFF"/>
        </w:rPr>
        <w:t xml:space="preserve"> e apresentando as maiores taxas de mortalidade por desnutrição em idosos.</w:t>
      </w:r>
      <w:r w:rsidR="000E6604">
        <w:rPr>
          <w:rFonts w:ascii="Arial" w:hAnsi="Arial" w:cs="Arial"/>
          <w:color w:val="000000"/>
          <w:shd w:val="clear" w:color="auto" w:fill="FFFFFF"/>
          <w:vertAlign w:val="superscript"/>
        </w:rPr>
        <w:t>14</w:t>
      </w:r>
      <w:r>
        <w:rPr>
          <w:rFonts w:ascii="Arial" w:hAnsi="Arial" w:cs="Arial"/>
          <w:color w:val="000000"/>
          <w:shd w:val="clear" w:color="auto" w:fill="FFFFFF"/>
        </w:rPr>
        <w:t xml:space="preserve"> A alta prevalência da desnutrição na região, associada a desigualdades socioeconômicas, insegurança alimentar e piores serviços de saúde</w:t>
      </w:r>
      <w:r w:rsidR="00F629EF">
        <w:rPr>
          <w:rFonts w:ascii="Arial" w:hAnsi="Arial" w:cs="Arial"/>
          <w:color w:val="000000"/>
          <w:shd w:val="clear" w:color="auto" w:fill="FFFFFF"/>
          <w:vertAlign w:val="superscript"/>
        </w:rPr>
        <w:t>8-15</w:t>
      </w:r>
      <w:r>
        <w:rPr>
          <w:rFonts w:ascii="Arial" w:hAnsi="Arial" w:cs="Arial"/>
          <w:color w:val="000000"/>
          <w:shd w:val="clear" w:color="auto" w:fill="FFFFFF"/>
        </w:rPr>
        <w:t>, explica em grande parte a elevada carga de mortalidade por DENM observada em n</w:t>
      </w:r>
      <w:r w:rsidR="006F2572">
        <w:rPr>
          <w:rFonts w:ascii="Arial" w:hAnsi="Arial" w:cs="Arial"/>
          <w:color w:val="000000"/>
          <w:shd w:val="clear" w:color="auto" w:fill="FFFFFF"/>
        </w:rPr>
        <w:t>esta</w:t>
      </w:r>
      <w:r>
        <w:rPr>
          <w:rFonts w:ascii="Arial" w:hAnsi="Arial" w:cs="Arial"/>
          <w:color w:val="000000"/>
          <w:shd w:val="clear" w:color="auto" w:fill="FFFFFF"/>
        </w:rPr>
        <w:t xml:space="preserve"> </w:t>
      </w:r>
      <w:r w:rsidR="006F2572">
        <w:rPr>
          <w:rFonts w:ascii="Arial" w:hAnsi="Arial" w:cs="Arial"/>
          <w:color w:val="000000"/>
          <w:shd w:val="clear" w:color="auto" w:fill="FFFFFF"/>
        </w:rPr>
        <w:t>pesquisa</w:t>
      </w:r>
      <w:r>
        <w:rPr>
          <w:rFonts w:ascii="Arial" w:hAnsi="Arial" w:cs="Arial"/>
          <w:color w:val="000000"/>
          <w:shd w:val="clear" w:color="auto" w:fill="FFFFFF"/>
        </w:rPr>
        <w:t>.</w:t>
      </w:r>
    </w:p>
    <w:p w14:paraId="368C3F0F" w14:textId="31C918C8" w:rsidR="006B1BC3" w:rsidRDefault="006B1BC3" w:rsidP="006B1BC3">
      <w:pPr>
        <w:pStyle w:val="NormalWeb"/>
        <w:spacing w:before="240" w:beforeAutospacing="0" w:after="240" w:afterAutospacing="0" w:line="360" w:lineRule="auto"/>
        <w:ind w:firstLine="720"/>
        <w:jc w:val="both"/>
      </w:pPr>
      <w:r>
        <w:rPr>
          <w:rFonts w:ascii="Arial" w:hAnsi="Arial" w:cs="Arial"/>
          <w:color w:val="000000"/>
          <w:shd w:val="clear" w:color="auto" w:fill="FFFFFF"/>
        </w:rPr>
        <w:t xml:space="preserve">Simultaneamente, o Nordeste também apresenta altas taxas de mortalidade por diabetes, </w:t>
      </w:r>
      <w:r w:rsidR="006F2572">
        <w:rPr>
          <w:rFonts w:ascii="Arial" w:hAnsi="Arial" w:cs="Arial"/>
          <w:color w:val="000000"/>
          <w:shd w:val="clear" w:color="auto" w:fill="FFFFFF"/>
        </w:rPr>
        <w:t>caracterizando o</w:t>
      </w:r>
      <w:r>
        <w:rPr>
          <w:rFonts w:ascii="Arial" w:hAnsi="Arial" w:cs="Arial"/>
          <w:color w:val="000000"/>
          <w:shd w:val="clear" w:color="auto" w:fill="FFFFFF"/>
        </w:rPr>
        <w:t xml:space="preserve"> fenômeno que a literatura descreve como o deslocamento da doença para as populações m</w:t>
      </w:r>
      <w:r w:rsidR="00C606D6">
        <w:rPr>
          <w:rFonts w:ascii="Arial" w:hAnsi="Arial" w:cs="Arial"/>
          <w:color w:val="000000"/>
          <w:shd w:val="clear" w:color="auto" w:fill="FFFFFF"/>
        </w:rPr>
        <w:t>ais pobres</w:t>
      </w:r>
      <w:r>
        <w:rPr>
          <w:rFonts w:ascii="Arial" w:hAnsi="Arial" w:cs="Arial"/>
          <w:color w:val="000000"/>
          <w:shd w:val="clear" w:color="auto" w:fill="FFFFFF"/>
        </w:rPr>
        <w:t>.</w:t>
      </w:r>
      <w:r w:rsidR="00C606D6">
        <w:rPr>
          <w:rFonts w:ascii="Arial" w:hAnsi="Arial" w:cs="Arial"/>
          <w:color w:val="000000"/>
          <w:shd w:val="clear" w:color="auto" w:fill="FFFFFF"/>
          <w:vertAlign w:val="superscript"/>
        </w:rPr>
        <w:t>6</w:t>
      </w:r>
      <w:r>
        <w:rPr>
          <w:rFonts w:ascii="Arial" w:hAnsi="Arial" w:cs="Arial"/>
          <w:color w:val="000000"/>
          <w:shd w:val="clear" w:color="auto" w:fill="FFFFFF"/>
        </w:rPr>
        <w:t xml:space="preserve"> Curiosamente, estudo com dados de 2010 apontava o Nordeste com a maior mortalidade proporcional</w:t>
      </w:r>
      <w:r w:rsidR="00C606D6">
        <w:rPr>
          <w:rFonts w:ascii="Arial" w:hAnsi="Arial" w:cs="Arial"/>
          <w:color w:val="000000"/>
          <w:shd w:val="clear" w:color="auto" w:fill="FFFFFF"/>
        </w:rPr>
        <w:t xml:space="preserve"> por DENM</w:t>
      </w:r>
      <w:r w:rsidR="00C606D6">
        <w:rPr>
          <w:rFonts w:ascii="Arial" w:hAnsi="Arial" w:cs="Arial"/>
          <w:color w:val="000000"/>
          <w:shd w:val="clear" w:color="auto" w:fill="FFFFFF"/>
          <w:vertAlign w:val="superscript"/>
        </w:rPr>
        <w:t>3</w:t>
      </w:r>
      <w:r>
        <w:rPr>
          <w:rFonts w:ascii="Arial" w:hAnsi="Arial" w:cs="Arial"/>
          <w:color w:val="000000"/>
          <w:shd w:val="clear" w:color="auto" w:fill="FFFFFF"/>
        </w:rPr>
        <w:t xml:space="preserve">, enquanto </w:t>
      </w:r>
      <w:r w:rsidR="006F2572">
        <w:rPr>
          <w:rFonts w:ascii="Arial" w:hAnsi="Arial" w:cs="Arial"/>
          <w:color w:val="000000"/>
          <w:shd w:val="clear" w:color="auto" w:fill="FFFFFF"/>
        </w:rPr>
        <w:t xml:space="preserve">esta </w:t>
      </w:r>
      <w:r w:rsidR="006F2572">
        <w:rPr>
          <w:rFonts w:ascii="Arial" w:hAnsi="Arial" w:cs="Arial"/>
          <w:color w:val="000000"/>
          <w:shd w:val="clear" w:color="auto" w:fill="FFFFFF"/>
        </w:rPr>
        <w:lastRenderedPageBreak/>
        <w:t>pesquisa</w:t>
      </w:r>
      <w:r>
        <w:rPr>
          <w:rFonts w:ascii="Arial" w:hAnsi="Arial" w:cs="Arial"/>
          <w:color w:val="000000"/>
          <w:shd w:val="clear" w:color="auto" w:fill="FFFFFF"/>
        </w:rPr>
        <w:t xml:space="preserve">, abrangendo período mais </w:t>
      </w:r>
      <w:r w:rsidR="0026589E">
        <w:rPr>
          <w:rFonts w:ascii="Arial" w:hAnsi="Arial" w:cs="Arial"/>
          <w:color w:val="000000"/>
          <w:shd w:val="clear" w:color="auto" w:fill="FFFFFF"/>
        </w:rPr>
        <w:t>longo</w:t>
      </w:r>
      <w:r w:rsidR="00F2776A">
        <w:rPr>
          <w:rFonts w:ascii="Arial" w:hAnsi="Arial" w:cs="Arial"/>
          <w:color w:val="000000"/>
          <w:shd w:val="clear" w:color="auto" w:fill="FFFFFF"/>
        </w:rPr>
        <w:t xml:space="preserve">, </w:t>
      </w:r>
      <w:r w:rsidR="0026589E">
        <w:rPr>
          <w:rFonts w:ascii="Arial" w:hAnsi="Arial" w:cs="Arial"/>
          <w:color w:val="000000"/>
          <w:shd w:val="clear" w:color="auto" w:fill="FFFFFF"/>
        </w:rPr>
        <w:t xml:space="preserve">e </w:t>
      </w:r>
      <w:r w:rsidR="00F2776A">
        <w:rPr>
          <w:rFonts w:ascii="Arial" w:hAnsi="Arial" w:cs="Arial"/>
          <w:color w:val="000000"/>
          <w:shd w:val="clear" w:color="auto" w:fill="FFFFFF"/>
        </w:rPr>
        <w:t>a</w:t>
      </w:r>
      <w:r w:rsidR="0026589E">
        <w:rPr>
          <w:rFonts w:ascii="Arial" w:hAnsi="Arial" w:cs="Arial"/>
          <w:color w:val="000000"/>
          <w:shd w:val="clear" w:color="auto" w:fill="FFFFFF"/>
        </w:rPr>
        <w:t xml:space="preserve"> de Cruz et al.</w:t>
      </w:r>
      <w:r w:rsidR="0026589E">
        <w:rPr>
          <w:rFonts w:ascii="Arial" w:hAnsi="Arial" w:cs="Arial"/>
          <w:color w:val="000000"/>
          <w:shd w:val="clear" w:color="auto" w:fill="FFFFFF"/>
          <w:vertAlign w:val="superscript"/>
        </w:rPr>
        <w:t>12</w:t>
      </w:r>
      <w:r w:rsidR="006F2572">
        <w:rPr>
          <w:rFonts w:ascii="Arial" w:hAnsi="Arial" w:cs="Arial"/>
          <w:color w:val="000000"/>
          <w:shd w:val="clear" w:color="auto" w:fill="FFFFFF"/>
        </w:rPr>
        <w:t xml:space="preserve">, </w:t>
      </w:r>
      <w:r>
        <w:rPr>
          <w:rFonts w:ascii="Arial" w:hAnsi="Arial" w:cs="Arial"/>
          <w:color w:val="000000"/>
          <w:shd w:val="clear" w:color="auto" w:fill="FFFFFF"/>
        </w:rPr>
        <w:t xml:space="preserve">identificaram o Sudeste com maior volume absoluto de óbitos. </w:t>
      </w:r>
      <w:r w:rsidR="006F2572">
        <w:rPr>
          <w:rFonts w:ascii="Arial" w:hAnsi="Arial" w:cs="Arial"/>
          <w:color w:val="000000"/>
          <w:shd w:val="clear" w:color="auto" w:fill="FFFFFF"/>
        </w:rPr>
        <w:t>R</w:t>
      </w:r>
      <w:r>
        <w:rPr>
          <w:rFonts w:ascii="Arial" w:hAnsi="Arial" w:cs="Arial"/>
          <w:color w:val="000000"/>
          <w:shd w:val="clear" w:color="auto" w:fill="FFFFFF"/>
        </w:rPr>
        <w:t>efleti</w:t>
      </w:r>
      <w:r w:rsidR="006F2572">
        <w:rPr>
          <w:rFonts w:ascii="Arial" w:hAnsi="Arial" w:cs="Arial"/>
          <w:color w:val="000000"/>
          <w:shd w:val="clear" w:color="auto" w:fill="FFFFFF"/>
        </w:rPr>
        <w:t>ndo</w:t>
      </w:r>
      <w:r>
        <w:rPr>
          <w:rFonts w:ascii="Arial" w:hAnsi="Arial" w:cs="Arial"/>
          <w:color w:val="000000"/>
          <w:shd w:val="clear" w:color="auto" w:fill="FFFFFF"/>
        </w:rPr>
        <w:t xml:space="preserve"> a mudança no cenário epidemiológico, onde o maior volume populacional e o envelhecimento mais acentuado do Sudeste resultaram na concentração do número absoluto de mortes. Alé</w:t>
      </w:r>
      <w:r w:rsidR="006F2572">
        <w:rPr>
          <w:rFonts w:ascii="Arial" w:hAnsi="Arial" w:cs="Arial"/>
          <w:color w:val="000000"/>
          <w:shd w:val="clear" w:color="auto" w:fill="FFFFFF"/>
        </w:rPr>
        <w:t>m disso, as DENM apresentaram</w:t>
      </w:r>
      <w:r>
        <w:rPr>
          <w:rFonts w:ascii="Arial" w:hAnsi="Arial" w:cs="Arial"/>
          <w:color w:val="000000"/>
          <w:shd w:val="clear" w:color="auto" w:fill="FFFFFF"/>
        </w:rPr>
        <w:t xml:space="preserve"> impacto negativo na esperança de vida dos home</w:t>
      </w:r>
      <w:r w:rsidR="006F2572">
        <w:rPr>
          <w:rFonts w:ascii="Arial" w:hAnsi="Arial" w:cs="Arial"/>
          <w:color w:val="000000"/>
          <w:shd w:val="clear" w:color="auto" w:fill="FFFFFF"/>
        </w:rPr>
        <w:t>ns da região Norte, indicando</w:t>
      </w:r>
      <w:r>
        <w:rPr>
          <w:rFonts w:ascii="Arial" w:hAnsi="Arial" w:cs="Arial"/>
          <w:color w:val="000000"/>
          <w:shd w:val="clear" w:color="auto" w:fill="FFFFFF"/>
        </w:rPr>
        <w:t xml:space="preserve"> agravamento do </w:t>
      </w:r>
      <w:r w:rsidR="00A42CC7">
        <w:rPr>
          <w:rFonts w:ascii="Arial" w:hAnsi="Arial" w:cs="Arial"/>
          <w:color w:val="000000"/>
          <w:shd w:val="clear" w:color="auto" w:fill="FFFFFF"/>
        </w:rPr>
        <w:t>problema nesse grupo específico.</w:t>
      </w:r>
      <w:r w:rsidR="00A42CC7">
        <w:rPr>
          <w:rFonts w:ascii="Arial" w:hAnsi="Arial" w:cs="Arial"/>
          <w:color w:val="000000"/>
          <w:shd w:val="clear" w:color="auto" w:fill="FFFFFF"/>
          <w:vertAlign w:val="superscript"/>
        </w:rPr>
        <w:t xml:space="preserve">5 </w:t>
      </w:r>
    </w:p>
    <w:p w14:paraId="0A7D907E" w14:textId="38FC140F" w:rsidR="006B1BC3" w:rsidRPr="00A42CC7" w:rsidRDefault="006F2572" w:rsidP="006B1BC3">
      <w:pPr>
        <w:pStyle w:val="NormalWeb"/>
        <w:spacing w:before="240" w:beforeAutospacing="0" w:after="240" w:afterAutospacing="0" w:line="360" w:lineRule="auto"/>
        <w:ind w:firstLine="720"/>
        <w:jc w:val="both"/>
        <w:rPr>
          <w:vertAlign w:val="superscript"/>
        </w:rPr>
      </w:pPr>
      <w:r>
        <w:rPr>
          <w:rFonts w:ascii="Arial" w:hAnsi="Arial" w:cs="Arial"/>
          <w:color w:val="000000"/>
          <w:shd w:val="clear" w:color="auto" w:fill="FFFFFF"/>
        </w:rPr>
        <w:t>O</w:t>
      </w:r>
      <w:r w:rsidR="006B1BC3">
        <w:rPr>
          <w:rFonts w:ascii="Arial" w:hAnsi="Arial" w:cs="Arial"/>
          <w:color w:val="000000"/>
          <w:shd w:val="clear" w:color="auto" w:fill="FFFFFF"/>
        </w:rPr>
        <w:t>s resultados</w:t>
      </w:r>
      <w:r>
        <w:rPr>
          <w:rFonts w:ascii="Arial" w:hAnsi="Arial" w:cs="Arial"/>
          <w:color w:val="000000"/>
          <w:shd w:val="clear" w:color="auto" w:fill="FFFFFF"/>
        </w:rPr>
        <w:t xml:space="preserve"> desta pesquisa</w:t>
      </w:r>
      <w:r w:rsidR="006B1BC3">
        <w:rPr>
          <w:rFonts w:ascii="Arial" w:hAnsi="Arial" w:cs="Arial"/>
          <w:color w:val="000000"/>
          <w:shd w:val="clear" w:color="auto" w:fill="FFFFFF"/>
        </w:rPr>
        <w:t xml:space="preserve"> apontam a população idosa (≥ 60 anos) como a mais acometida (74,5% dos óbitos), o que é amplamente corroborado pela</w:t>
      </w:r>
      <w:r w:rsidR="00A42CC7">
        <w:rPr>
          <w:rFonts w:ascii="Arial" w:hAnsi="Arial" w:cs="Arial"/>
          <w:color w:val="000000"/>
          <w:shd w:val="clear" w:color="auto" w:fill="FFFFFF"/>
        </w:rPr>
        <w:t xml:space="preserve"> literatura.</w:t>
      </w:r>
      <w:r w:rsidR="00A42CC7">
        <w:rPr>
          <w:rFonts w:ascii="Arial" w:hAnsi="Arial" w:cs="Arial"/>
          <w:color w:val="000000"/>
          <w:shd w:val="clear" w:color="auto" w:fill="FFFFFF"/>
          <w:vertAlign w:val="superscript"/>
        </w:rPr>
        <w:t>11,12</w:t>
      </w:r>
      <w:r w:rsidR="00A42CC7">
        <w:rPr>
          <w:rFonts w:ascii="Arial" w:hAnsi="Arial" w:cs="Arial"/>
          <w:color w:val="000000"/>
          <w:shd w:val="clear" w:color="auto" w:fill="FFFFFF"/>
        </w:rPr>
        <w:t xml:space="preserve"> </w:t>
      </w:r>
      <w:r w:rsidR="006B1BC3">
        <w:rPr>
          <w:rFonts w:ascii="Arial" w:hAnsi="Arial" w:cs="Arial"/>
          <w:color w:val="000000"/>
          <w:shd w:val="clear" w:color="auto" w:fill="FFFFFF"/>
        </w:rPr>
        <w:t xml:space="preserve">Esse fenômeno é impulsionado pelo envelhecimento populacional, que </w:t>
      </w:r>
      <w:r>
        <w:rPr>
          <w:rFonts w:ascii="Arial" w:hAnsi="Arial" w:cs="Arial"/>
          <w:color w:val="000000"/>
          <w:shd w:val="clear" w:color="auto" w:fill="FFFFFF"/>
        </w:rPr>
        <w:t>consequentemente eleva</w:t>
      </w:r>
      <w:r w:rsidR="006B1BC3">
        <w:rPr>
          <w:rFonts w:ascii="Arial" w:hAnsi="Arial" w:cs="Arial"/>
          <w:color w:val="000000"/>
          <w:shd w:val="clear" w:color="auto" w:fill="FFFFFF"/>
        </w:rPr>
        <w:t xml:space="preserve"> o número de </w:t>
      </w:r>
      <w:r>
        <w:rPr>
          <w:rFonts w:ascii="Arial" w:hAnsi="Arial" w:cs="Arial"/>
          <w:color w:val="000000"/>
          <w:shd w:val="clear" w:color="auto" w:fill="FFFFFF"/>
        </w:rPr>
        <w:t>indivíduos</w:t>
      </w:r>
      <w:r w:rsidR="006B1BC3">
        <w:rPr>
          <w:rFonts w:ascii="Arial" w:hAnsi="Arial" w:cs="Arial"/>
          <w:color w:val="000000"/>
          <w:shd w:val="clear" w:color="auto" w:fill="FFFFFF"/>
        </w:rPr>
        <w:t xml:space="preserve"> com doença</w:t>
      </w:r>
      <w:r w:rsidR="00A42CC7">
        <w:rPr>
          <w:rFonts w:ascii="Arial" w:hAnsi="Arial" w:cs="Arial"/>
          <w:color w:val="000000"/>
          <w:shd w:val="clear" w:color="auto" w:fill="FFFFFF"/>
        </w:rPr>
        <w:t>s crônicas</w:t>
      </w:r>
      <w:r w:rsidR="006B1BC3">
        <w:rPr>
          <w:rFonts w:ascii="Arial" w:hAnsi="Arial" w:cs="Arial"/>
          <w:color w:val="000000"/>
          <w:shd w:val="clear" w:color="auto" w:fill="FFFFFF"/>
        </w:rPr>
        <w:t>.</w:t>
      </w:r>
      <w:r w:rsidR="00A42CC7">
        <w:rPr>
          <w:rFonts w:ascii="Arial" w:hAnsi="Arial" w:cs="Arial"/>
          <w:color w:val="000000"/>
          <w:shd w:val="clear" w:color="auto" w:fill="FFFFFF"/>
          <w:vertAlign w:val="superscript"/>
        </w:rPr>
        <w:t>6</w:t>
      </w:r>
      <w:r w:rsidR="006B1BC3">
        <w:rPr>
          <w:rFonts w:ascii="Arial" w:hAnsi="Arial" w:cs="Arial"/>
          <w:color w:val="000000"/>
          <w:shd w:val="clear" w:color="auto" w:fill="FFFFFF"/>
        </w:rPr>
        <w:t xml:space="preserve"> Dentro desse grupo, a vulnerabilidade é ainda maior entre os mais longevos (≥ 80 anos), faixa etária na qual a tendência de queda da mortalidade por desnutrição se mostrou esta</w:t>
      </w:r>
      <w:r w:rsidR="00A42CC7">
        <w:rPr>
          <w:rFonts w:ascii="Arial" w:hAnsi="Arial" w:cs="Arial"/>
          <w:color w:val="000000"/>
          <w:shd w:val="clear" w:color="auto" w:fill="FFFFFF"/>
        </w:rPr>
        <w:t>gnada</w:t>
      </w:r>
      <w:r w:rsidR="006B1BC3">
        <w:rPr>
          <w:rFonts w:ascii="Arial" w:hAnsi="Arial" w:cs="Arial"/>
          <w:color w:val="000000"/>
          <w:shd w:val="clear" w:color="auto" w:fill="FFFFFF"/>
        </w:rPr>
        <w:t>.</w:t>
      </w:r>
      <w:r w:rsidR="00A42CC7">
        <w:rPr>
          <w:rFonts w:ascii="Arial" w:hAnsi="Arial" w:cs="Arial"/>
          <w:color w:val="000000"/>
          <w:shd w:val="clear" w:color="auto" w:fill="FFFFFF"/>
          <w:vertAlign w:val="superscript"/>
        </w:rPr>
        <w:t>14</w:t>
      </w:r>
    </w:p>
    <w:p w14:paraId="0E1CEC98" w14:textId="461F87F6" w:rsidR="006B1BC3" w:rsidRPr="00CD5314" w:rsidRDefault="006B1BC3" w:rsidP="006B1BC3">
      <w:pPr>
        <w:pStyle w:val="NormalWeb"/>
        <w:spacing w:before="240" w:beforeAutospacing="0" w:after="240" w:afterAutospacing="0" w:line="360" w:lineRule="auto"/>
        <w:ind w:firstLine="720"/>
        <w:jc w:val="both"/>
        <w:rPr>
          <w:vertAlign w:val="superscript"/>
        </w:rPr>
      </w:pPr>
      <w:r>
        <w:rPr>
          <w:rFonts w:ascii="Arial" w:hAnsi="Arial" w:cs="Arial"/>
          <w:color w:val="000000"/>
          <w:shd w:val="clear" w:color="auto" w:fill="FFFFFF"/>
        </w:rPr>
        <w:t xml:space="preserve">A ligeira predominância de óbitos no sexo masculino (50,9%) encontrada </w:t>
      </w:r>
      <w:r w:rsidR="006F2572">
        <w:rPr>
          <w:rFonts w:ascii="Arial" w:hAnsi="Arial" w:cs="Arial"/>
          <w:color w:val="000000"/>
          <w:shd w:val="clear" w:color="auto" w:fill="FFFFFF"/>
        </w:rPr>
        <w:t>nesta pesquisa</w:t>
      </w:r>
      <w:r>
        <w:rPr>
          <w:rFonts w:ascii="Arial" w:hAnsi="Arial" w:cs="Arial"/>
          <w:color w:val="000000"/>
          <w:shd w:val="clear" w:color="auto" w:fill="FFFFFF"/>
        </w:rPr>
        <w:t xml:space="preserve"> é consistente com outros</w:t>
      </w:r>
      <w:r w:rsidR="00573308">
        <w:rPr>
          <w:rFonts w:ascii="Arial" w:hAnsi="Arial" w:cs="Arial"/>
          <w:color w:val="000000"/>
          <w:shd w:val="clear" w:color="auto" w:fill="FFFFFF"/>
        </w:rPr>
        <w:t xml:space="preserve"> achados</w:t>
      </w:r>
      <w:r>
        <w:rPr>
          <w:rFonts w:ascii="Arial" w:hAnsi="Arial" w:cs="Arial"/>
          <w:color w:val="000000"/>
          <w:shd w:val="clear" w:color="auto" w:fill="FFFFFF"/>
        </w:rPr>
        <w:t>.</w:t>
      </w:r>
      <w:r w:rsidR="00573308">
        <w:rPr>
          <w:rFonts w:ascii="Arial" w:hAnsi="Arial" w:cs="Arial"/>
          <w:color w:val="000000"/>
          <w:shd w:val="clear" w:color="auto" w:fill="FFFFFF"/>
          <w:vertAlign w:val="superscript"/>
        </w:rPr>
        <w:t>11</w:t>
      </w:r>
      <w:r>
        <w:rPr>
          <w:rFonts w:ascii="Arial" w:hAnsi="Arial" w:cs="Arial"/>
          <w:color w:val="000000"/>
          <w:shd w:val="clear" w:color="auto" w:fill="FFFFFF"/>
        </w:rPr>
        <w:t xml:space="preserve"> A literatura oferece explicações robustas para essa desvantagem. As taxas de mortalidade por desnutrição são con</w:t>
      </w:r>
      <w:r w:rsidR="00573308">
        <w:rPr>
          <w:rFonts w:ascii="Arial" w:hAnsi="Arial" w:cs="Arial"/>
          <w:color w:val="000000"/>
          <w:shd w:val="clear" w:color="auto" w:fill="FFFFFF"/>
        </w:rPr>
        <w:t>si</w:t>
      </w:r>
      <w:r w:rsidR="006F2572">
        <w:rPr>
          <w:rFonts w:ascii="Arial" w:hAnsi="Arial" w:cs="Arial"/>
          <w:color w:val="000000"/>
          <w:shd w:val="clear" w:color="auto" w:fill="FFFFFF"/>
        </w:rPr>
        <w:t>deravel</w:t>
      </w:r>
      <w:r w:rsidR="00573308">
        <w:rPr>
          <w:rFonts w:ascii="Arial" w:hAnsi="Arial" w:cs="Arial"/>
          <w:color w:val="000000"/>
          <w:shd w:val="clear" w:color="auto" w:fill="FFFFFF"/>
        </w:rPr>
        <w:t>mente maiores em homens</w:t>
      </w:r>
      <w:r w:rsidR="00573308">
        <w:rPr>
          <w:rFonts w:ascii="Arial" w:hAnsi="Arial" w:cs="Arial"/>
          <w:color w:val="000000"/>
          <w:shd w:val="clear" w:color="auto" w:fill="FFFFFF"/>
          <w:vertAlign w:val="superscript"/>
        </w:rPr>
        <w:t>14</w:t>
      </w:r>
      <w:r w:rsidR="00573308">
        <w:rPr>
          <w:rFonts w:ascii="Arial" w:hAnsi="Arial" w:cs="Arial"/>
          <w:color w:val="000000"/>
          <w:shd w:val="clear" w:color="auto" w:fill="FFFFFF"/>
        </w:rPr>
        <w:t xml:space="preserve">, </w:t>
      </w:r>
      <w:r>
        <w:rPr>
          <w:rFonts w:ascii="Arial" w:hAnsi="Arial" w:cs="Arial"/>
          <w:color w:val="000000"/>
          <w:shd w:val="clear" w:color="auto" w:fill="FFFFFF"/>
        </w:rPr>
        <w:t>e a taxa de crescimento da mortalidade por diabetes é significativamente mais rápida no sexo mas</w:t>
      </w:r>
      <w:r w:rsidR="00CD5314">
        <w:rPr>
          <w:rFonts w:ascii="Arial" w:hAnsi="Arial" w:cs="Arial"/>
          <w:color w:val="000000"/>
          <w:shd w:val="clear" w:color="auto" w:fill="FFFFFF"/>
        </w:rPr>
        <w:t>culino</w:t>
      </w:r>
      <w:r>
        <w:rPr>
          <w:rFonts w:ascii="Arial" w:hAnsi="Arial" w:cs="Arial"/>
          <w:color w:val="000000"/>
          <w:shd w:val="clear" w:color="auto" w:fill="FFFFFF"/>
        </w:rPr>
        <w:t>.</w:t>
      </w:r>
      <w:r w:rsidR="00CD5314">
        <w:rPr>
          <w:rFonts w:ascii="Arial" w:hAnsi="Arial" w:cs="Arial"/>
          <w:color w:val="000000"/>
          <w:shd w:val="clear" w:color="auto" w:fill="FFFFFF"/>
          <w:vertAlign w:val="superscript"/>
        </w:rPr>
        <w:t>16</w:t>
      </w:r>
      <w:r>
        <w:rPr>
          <w:rFonts w:ascii="Arial" w:hAnsi="Arial" w:cs="Arial"/>
          <w:color w:val="000000"/>
          <w:shd w:val="clear" w:color="auto" w:fill="FFFFFF"/>
        </w:rPr>
        <w:t xml:space="preserve"> O dado mais contundente </w:t>
      </w:r>
      <w:r w:rsidR="006F2572">
        <w:rPr>
          <w:rFonts w:ascii="Arial" w:hAnsi="Arial" w:cs="Arial"/>
          <w:color w:val="000000"/>
          <w:shd w:val="clear" w:color="auto" w:fill="FFFFFF"/>
        </w:rPr>
        <w:t>emerge</w:t>
      </w:r>
      <w:r>
        <w:rPr>
          <w:rFonts w:ascii="Arial" w:hAnsi="Arial" w:cs="Arial"/>
          <w:color w:val="000000"/>
          <w:shd w:val="clear" w:color="auto" w:fill="FFFFFF"/>
        </w:rPr>
        <w:t xml:space="preserve"> da análise</w:t>
      </w:r>
      <w:r w:rsidR="006F2572">
        <w:rPr>
          <w:rFonts w:ascii="Arial" w:hAnsi="Arial" w:cs="Arial"/>
          <w:color w:val="000000"/>
          <w:shd w:val="clear" w:color="auto" w:fill="FFFFFF"/>
        </w:rPr>
        <w:t xml:space="preserve"> de anos de vida perdidos (AVP), sendo que</w:t>
      </w:r>
      <w:r>
        <w:rPr>
          <w:rFonts w:ascii="Arial" w:hAnsi="Arial" w:cs="Arial"/>
          <w:color w:val="000000"/>
          <w:shd w:val="clear" w:color="auto" w:fill="FFFFFF"/>
        </w:rPr>
        <w:t xml:space="preserve"> homens diagnosticados com diabetes perdem, em média, mais que o dobro de anos de vida em comparação com as mulheres (5,5 AVP </w:t>
      </w:r>
      <w:r w:rsidR="006F2572">
        <w:rPr>
          <w:rFonts w:ascii="Arial" w:hAnsi="Arial" w:cs="Arial"/>
          <w:color w:val="000000"/>
          <w:shd w:val="clear" w:color="auto" w:fill="FFFFFF"/>
        </w:rPr>
        <w:t>e</w:t>
      </w:r>
      <w:r>
        <w:rPr>
          <w:rFonts w:ascii="Arial" w:hAnsi="Arial" w:cs="Arial"/>
          <w:color w:val="000000"/>
          <w:shd w:val="clear" w:color="auto" w:fill="FFFFFF"/>
        </w:rPr>
        <w:t xml:space="preserve"> 2,1 AVP, respectivamente), o que dimensiona o impacto da doença e explica a maior mortalidade geral</w:t>
      </w:r>
      <w:r w:rsidR="00CD5314">
        <w:rPr>
          <w:rFonts w:ascii="Arial" w:hAnsi="Arial" w:cs="Arial"/>
          <w:color w:val="000000"/>
          <w:shd w:val="clear" w:color="auto" w:fill="FFFFFF"/>
        </w:rPr>
        <w:t xml:space="preserve"> observada</w:t>
      </w:r>
      <w:r>
        <w:rPr>
          <w:rFonts w:ascii="Arial" w:hAnsi="Arial" w:cs="Arial"/>
          <w:color w:val="000000"/>
          <w:shd w:val="clear" w:color="auto" w:fill="FFFFFF"/>
        </w:rPr>
        <w:t>.</w:t>
      </w:r>
      <w:r w:rsidR="00CD5314">
        <w:rPr>
          <w:rFonts w:ascii="Arial" w:hAnsi="Arial" w:cs="Arial"/>
          <w:color w:val="000000"/>
          <w:shd w:val="clear" w:color="auto" w:fill="FFFFFF"/>
          <w:vertAlign w:val="superscript"/>
        </w:rPr>
        <w:t>17</w:t>
      </w:r>
    </w:p>
    <w:p w14:paraId="306DCBE2" w14:textId="618D94EE" w:rsidR="00460676" w:rsidRPr="005D626D" w:rsidRDefault="006B1BC3" w:rsidP="006B1BC3">
      <w:pPr>
        <w:pStyle w:val="NormalWeb"/>
        <w:spacing w:before="240" w:beforeAutospacing="0" w:after="240" w:afterAutospacing="0" w:line="360" w:lineRule="auto"/>
        <w:ind w:firstLine="720"/>
        <w:jc w:val="both"/>
        <w:rPr>
          <w:vertAlign w:val="superscript"/>
        </w:rPr>
      </w:pPr>
      <w:r>
        <w:rPr>
          <w:rFonts w:ascii="Arial" w:hAnsi="Arial" w:cs="Arial"/>
          <w:color w:val="000000"/>
          <w:shd w:val="clear" w:color="auto" w:fill="FFFFFF"/>
        </w:rPr>
        <w:t>A análise da série histórica revelou pico de mortalidade em torno de 2021, inserido em contexto de tendência geral de agravamento da mortalidade por DENM ao longo da última década.</w:t>
      </w:r>
      <w:r w:rsidR="00CD5314">
        <w:rPr>
          <w:rFonts w:ascii="Arial" w:hAnsi="Arial" w:cs="Arial"/>
          <w:color w:val="000000"/>
          <w:shd w:val="clear" w:color="auto" w:fill="FFFFFF"/>
          <w:vertAlign w:val="superscript"/>
        </w:rPr>
        <w:t>1-17</w:t>
      </w:r>
      <w:r>
        <w:rPr>
          <w:rFonts w:ascii="Arial" w:hAnsi="Arial" w:cs="Arial"/>
          <w:color w:val="000000"/>
          <w:shd w:val="clear" w:color="auto" w:fill="FFFFFF"/>
        </w:rPr>
        <w:t xml:space="preserve"> O pico observado coincide com a pandemia de COVID-19, período em que as condições metabólicas preexistentes, como diabetes e obesidade, foram fatores de risco determinantes para desfechos graves e óbito, impactando desproporcionalmente </w:t>
      </w:r>
      <w:r w:rsidR="00CD5314">
        <w:rPr>
          <w:rFonts w:ascii="Arial" w:hAnsi="Arial" w:cs="Arial"/>
          <w:color w:val="000000"/>
          <w:shd w:val="clear" w:color="auto" w:fill="FFFFFF"/>
        </w:rPr>
        <w:t>a população</w:t>
      </w:r>
      <w:r>
        <w:rPr>
          <w:rFonts w:ascii="Arial" w:hAnsi="Arial" w:cs="Arial"/>
          <w:color w:val="000000"/>
          <w:shd w:val="clear" w:color="auto" w:fill="FFFFFF"/>
        </w:rPr>
        <w:t>.</w:t>
      </w:r>
      <w:r w:rsidR="00CD5314">
        <w:rPr>
          <w:rFonts w:ascii="Arial" w:hAnsi="Arial" w:cs="Arial"/>
          <w:color w:val="000000"/>
          <w:shd w:val="clear" w:color="auto" w:fill="FFFFFF"/>
          <w:vertAlign w:val="superscript"/>
        </w:rPr>
        <w:t>18</w:t>
      </w:r>
      <w:r>
        <w:rPr>
          <w:rFonts w:ascii="Arial" w:hAnsi="Arial" w:cs="Arial"/>
          <w:color w:val="000000"/>
          <w:shd w:val="clear" w:color="auto" w:fill="FFFFFF"/>
        </w:rPr>
        <w:t xml:space="preserve"> A pandemia também levou a flutuações nos serviços de saúde, com queda nas internações e picos de mortalidade por desnutrição em grupos vulner</w:t>
      </w:r>
      <w:r w:rsidR="00CD5314">
        <w:rPr>
          <w:rFonts w:ascii="Arial" w:hAnsi="Arial" w:cs="Arial"/>
          <w:color w:val="000000"/>
          <w:shd w:val="clear" w:color="auto" w:fill="FFFFFF"/>
        </w:rPr>
        <w:t>áveis</w:t>
      </w:r>
      <w:r>
        <w:rPr>
          <w:rFonts w:ascii="Arial" w:hAnsi="Arial" w:cs="Arial"/>
          <w:color w:val="000000"/>
          <w:shd w:val="clear" w:color="auto" w:fill="FFFFFF"/>
        </w:rPr>
        <w:t>.</w:t>
      </w:r>
      <w:r w:rsidR="00CD5314">
        <w:rPr>
          <w:rFonts w:ascii="Arial" w:hAnsi="Arial" w:cs="Arial"/>
          <w:color w:val="000000"/>
          <w:shd w:val="clear" w:color="auto" w:fill="FFFFFF"/>
          <w:vertAlign w:val="superscript"/>
        </w:rPr>
        <w:t>13</w:t>
      </w:r>
      <w:r>
        <w:rPr>
          <w:rFonts w:ascii="Arial" w:hAnsi="Arial" w:cs="Arial"/>
          <w:color w:val="000000"/>
          <w:shd w:val="clear" w:color="auto" w:fill="FFFFFF"/>
        </w:rPr>
        <w:t xml:space="preserve"> Além disso, a aceleração da mortalidade por diabetes após 2016 pode estar associada a</w:t>
      </w:r>
      <w:r w:rsidR="006F2572">
        <w:rPr>
          <w:rFonts w:ascii="Arial" w:hAnsi="Arial" w:cs="Arial"/>
          <w:color w:val="000000"/>
          <w:shd w:val="clear" w:color="auto" w:fill="FFFFFF"/>
        </w:rPr>
        <w:t>o</w:t>
      </w:r>
      <w:r>
        <w:rPr>
          <w:rFonts w:ascii="Arial" w:hAnsi="Arial" w:cs="Arial"/>
          <w:color w:val="000000"/>
          <w:shd w:val="clear" w:color="auto" w:fill="FFFFFF"/>
        </w:rPr>
        <w:t xml:space="preserve"> contexto mais amplo de medidas de austeridade governamental que po</w:t>
      </w:r>
      <w:r w:rsidR="006F2572">
        <w:rPr>
          <w:rFonts w:ascii="Arial" w:hAnsi="Arial" w:cs="Arial"/>
          <w:color w:val="000000"/>
          <w:shd w:val="clear" w:color="auto" w:fill="FFFFFF"/>
        </w:rPr>
        <w:t>ssivelmente</w:t>
      </w:r>
      <w:r>
        <w:rPr>
          <w:rFonts w:ascii="Arial" w:hAnsi="Arial" w:cs="Arial"/>
          <w:color w:val="000000"/>
          <w:shd w:val="clear" w:color="auto" w:fill="FFFFFF"/>
        </w:rPr>
        <w:t xml:space="preserve"> limita</w:t>
      </w:r>
      <w:r w:rsidR="006F2572">
        <w:rPr>
          <w:rFonts w:ascii="Arial" w:hAnsi="Arial" w:cs="Arial"/>
          <w:color w:val="000000"/>
          <w:shd w:val="clear" w:color="auto" w:fill="FFFFFF"/>
        </w:rPr>
        <w:t>ram</w:t>
      </w:r>
      <w:r>
        <w:rPr>
          <w:rFonts w:ascii="Arial" w:hAnsi="Arial" w:cs="Arial"/>
          <w:color w:val="000000"/>
          <w:shd w:val="clear" w:color="auto" w:fill="FFFFFF"/>
        </w:rPr>
        <w:t xml:space="preserve"> o acesso aos cuidados de saúde, agravando o cenário </w:t>
      </w:r>
      <w:r w:rsidR="005D626D">
        <w:rPr>
          <w:rFonts w:ascii="Arial" w:hAnsi="Arial" w:cs="Arial"/>
          <w:color w:val="000000"/>
          <w:shd w:val="clear" w:color="auto" w:fill="FFFFFF"/>
        </w:rPr>
        <w:t>antes mesmo da crise sanitária.</w:t>
      </w:r>
      <w:r w:rsidR="005D626D">
        <w:rPr>
          <w:rFonts w:ascii="Arial" w:hAnsi="Arial" w:cs="Arial"/>
          <w:color w:val="000000"/>
          <w:shd w:val="clear" w:color="auto" w:fill="FFFFFF"/>
          <w:vertAlign w:val="superscript"/>
        </w:rPr>
        <w:t>16</w:t>
      </w:r>
    </w:p>
    <w:p w14:paraId="744CEE62" w14:textId="2391971E" w:rsidR="0021255D" w:rsidRPr="001C2658" w:rsidRDefault="00920471" w:rsidP="001C2658">
      <w:pPr>
        <w:shd w:val="clear" w:color="auto" w:fill="4F81BD" w:themeFill="accent1"/>
        <w:rPr>
          <w:rFonts w:ascii="Arial" w:hAnsi="Arial" w:cs="Arial"/>
          <w:sz w:val="16"/>
        </w:rPr>
      </w:pPr>
      <w:r>
        <w:rPr>
          <w:rFonts w:ascii="Arial" w:hAnsi="Arial" w:cs="Arial"/>
          <w:b/>
          <w:color w:val="FFFFFF" w:themeColor="background1"/>
        </w:rPr>
        <w:lastRenderedPageBreak/>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3ED4F9F5" w14:textId="4777D733" w:rsidR="001C2658" w:rsidRDefault="001C2658" w:rsidP="001C2658">
      <w:pPr>
        <w:pStyle w:val="NormalWeb"/>
        <w:spacing w:before="240" w:beforeAutospacing="0" w:after="240" w:afterAutospacing="0" w:line="360" w:lineRule="auto"/>
        <w:ind w:firstLine="720"/>
        <w:jc w:val="both"/>
      </w:pPr>
      <w:r>
        <w:rPr>
          <w:rFonts w:ascii="Arial" w:hAnsi="Arial" w:cs="Arial"/>
          <w:color w:val="000000"/>
          <w:shd w:val="clear" w:color="auto" w:fill="FFFFFF"/>
        </w:rPr>
        <w:t>O presente estudo objetivou analisar o perfil da mortalidade por doenças endócrinas, nutricionais e metabólicas (DENM) no Brasil no período de 2009 a 2024. Os resultados evidenciaram que a mortalidade por este grupo de causas representa um problema de saúde pública de grande magnitude, impulsionado por uma dupla carga do diabetes mellitus e da desnutrição, que se consolidaram como as principais causas de óbito. Confirmou-se a acentuada vulnerabilidade da população idosa, que concentrou a maioria das mortes, e a existência de profundas desigualdades regionais, com as regiões Sudeste e Nordeste respondendo pela maior parte dos casos. Observou-se, ainda, discreta predominância da mortalidade no sexo masculino, refletindo tendências de maior letalidade por condições específicas neste grupo.</w:t>
      </w:r>
    </w:p>
    <w:p w14:paraId="3E11E46E" w14:textId="6B9CC42D" w:rsidR="00920471" w:rsidRPr="001C2658" w:rsidRDefault="001C2658" w:rsidP="001C2658">
      <w:pPr>
        <w:pStyle w:val="NormalWeb"/>
        <w:spacing w:before="240" w:beforeAutospacing="0" w:after="240" w:afterAutospacing="0" w:line="360" w:lineRule="auto"/>
        <w:ind w:firstLine="720"/>
        <w:jc w:val="both"/>
      </w:pPr>
      <w:r>
        <w:rPr>
          <w:rFonts w:ascii="Arial" w:hAnsi="Arial" w:cs="Arial"/>
          <w:color w:val="000000"/>
          <w:shd w:val="clear" w:color="auto" w:fill="FFFFFF"/>
        </w:rPr>
        <w:t>A principal contribuição desta pesquisa reside na apresentação de um panorama atualizado e abrangente da mortalidade por DENM, que quantifica a persistência da desnutrição como um desafio fatal, coexistindo com a epidemia de diabetes. Entre as lacunas do estudo, destaca-se que a elevada proporção de registros de óbito com informação ignorada para a variável cor/raça limitou a análise aprofundada das desigualdades raciais. Sugere-se, para estudos futuros, a investigação dos fatores associados à elevada mortalidade por desnutrição em regiões com maior desenvolvimento socioeconômico. Adicionalmente, são necessárias pesquisas que utilizem métodos para corrigir a subnotificação da variável cor/raça e que avaliem o impacto de políticas públicas específicas sobre as tendências de mortalidade aqui identificadas, a fim de subsidiar ações de saúde mais efetivas e equânimes.</w:t>
      </w:r>
    </w:p>
    <w:p w14:paraId="5A226E0D" w14:textId="4D5E31F3" w:rsidR="002C2713" w:rsidRDefault="00D6702E" w:rsidP="001C2658">
      <w:pPr>
        <w:shd w:val="clear" w:color="auto" w:fill="4F81BD" w:themeFill="accent1"/>
        <w:rPr>
          <w:rFonts w:ascii="Arial" w:hAnsi="Arial" w:cs="Arial"/>
          <w:b/>
          <w:color w:val="FFFFFF" w:themeColor="background1"/>
        </w:rPr>
      </w:pPr>
      <w:r w:rsidRPr="00D6702E">
        <w:rPr>
          <w:rFonts w:ascii="Arial" w:hAnsi="Arial" w:cs="Arial"/>
          <w:b/>
          <w:color w:val="FFFFFF" w:themeColor="background1"/>
        </w:rPr>
        <w:t>REFERÊNCIAS</w:t>
      </w:r>
    </w:p>
    <w:p w14:paraId="2E0B1845" w14:textId="53B979F3" w:rsidR="00267D2A" w:rsidRPr="009A6868" w:rsidRDefault="00267D2A" w:rsidP="00267D2A">
      <w:pPr>
        <w:pStyle w:val="NormalWeb"/>
        <w:jc w:val="both"/>
        <w:rPr>
          <w:rFonts w:ascii="Arial" w:hAnsi="Arial" w:cs="Arial"/>
        </w:rPr>
      </w:pPr>
      <w:r>
        <w:rPr>
          <w:rFonts w:ascii="Arial" w:hAnsi="Arial" w:cs="Arial"/>
        </w:rPr>
        <w:t>1.</w:t>
      </w:r>
      <w:r w:rsidR="0021024B">
        <w:rPr>
          <w:rFonts w:ascii="Arial" w:hAnsi="Arial" w:cs="Arial"/>
        </w:rPr>
        <w:t xml:space="preserve"> </w:t>
      </w:r>
      <w:r w:rsidRPr="009A6868">
        <w:rPr>
          <w:rFonts w:ascii="Arial" w:hAnsi="Arial" w:cs="Arial"/>
        </w:rPr>
        <w:t xml:space="preserve">Andrade NCO, Freitas KFS, Sousa YM, Santos SS, Correa PKV, Carvalho MLM, et al. </w:t>
      </w:r>
      <w:r w:rsidRPr="003A6BDF">
        <w:rPr>
          <w:rFonts w:ascii="Arial" w:hAnsi="Arial" w:cs="Arial"/>
          <w:lang w:val="en-US"/>
        </w:rPr>
        <w:t xml:space="preserve">Trends in mortality from leading causes in Brazil from 2011 to 2020: an ecological study. </w:t>
      </w:r>
      <w:r w:rsidRPr="009A6868">
        <w:rPr>
          <w:rFonts w:ascii="Arial" w:hAnsi="Arial" w:cs="Arial"/>
        </w:rPr>
        <w:t xml:space="preserve">J Adv Med Med Res. 2023;35(12):74–84. Disponível em: </w:t>
      </w:r>
      <w:hyperlink r:id="rId14" w:tgtFrame="_new" w:history="1">
        <w:r w:rsidRPr="009A6868">
          <w:rPr>
            <w:rStyle w:val="Hyperlink"/>
            <w:rFonts w:ascii="Arial" w:hAnsi="Arial" w:cs="Arial"/>
            <w:color w:val="auto"/>
          </w:rPr>
          <w:t>http://dx.doi.org/10.9734/jammr/2023/v35i125037</w:t>
        </w:r>
      </w:hyperlink>
      <w:r w:rsidRPr="009A6868">
        <w:rPr>
          <w:rFonts w:ascii="Arial" w:hAnsi="Arial" w:cs="Arial"/>
        </w:rPr>
        <w:t>.</w:t>
      </w:r>
    </w:p>
    <w:p w14:paraId="261A75B8" w14:textId="22273BDC" w:rsidR="006F639B" w:rsidRPr="009A6868" w:rsidRDefault="006F639B" w:rsidP="006F639B">
      <w:pPr>
        <w:pStyle w:val="NormalWeb"/>
        <w:jc w:val="both"/>
        <w:rPr>
          <w:rFonts w:ascii="Arial" w:hAnsi="Arial" w:cs="Arial"/>
        </w:rPr>
      </w:pPr>
      <w:r w:rsidRPr="003A6BDF">
        <w:rPr>
          <w:rFonts w:ascii="Arial" w:hAnsi="Arial" w:cs="Arial"/>
          <w:lang w:val="en-US"/>
        </w:rPr>
        <w:t>2.</w:t>
      </w:r>
      <w:r w:rsidR="0021024B" w:rsidRPr="003A6BDF">
        <w:rPr>
          <w:rFonts w:ascii="Arial" w:hAnsi="Arial" w:cs="Arial"/>
          <w:lang w:val="en-US"/>
        </w:rPr>
        <w:t xml:space="preserve"> </w:t>
      </w:r>
      <w:r w:rsidRPr="003A6BDF">
        <w:rPr>
          <w:rFonts w:ascii="Arial" w:hAnsi="Arial" w:cs="Arial"/>
          <w:lang w:val="en-US"/>
        </w:rPr>
        <w:t xml:space="preserve">Cohen RV, Drager LF, Petry TBZ, Santos RD. Metabolic health in Brazil: trends and challenges. </w:t>
      </w:r>
      <w:r w:rsidRPr="009A6868">
        <w:rPr>
          <w:rFonts w:ascii="Arial" w:hAnsi="Arial" w:cs="Arial"/>
        </w:rPr>
        <w:t xml:space="preserve">Lancet Diabetes Endocrinol. 2020;8(12):937–8. Disponível em: </w:t>
      </w:r>
      <w:hyperlink r:id="rId15" w:tgtFrame="_new" w:history="1">
        <w:r w:rsidRPr="009A6868">
          <w:rPr>
            <w:rStyle w:val="Hyperlink"/>
            <w:rFonts w:ascii="Arial" w:hAnsi="Arial" w:cs="Arial"/>
            <w:color w:val="auto"/>
          </w:rPr>
          <w:t>http://dx.doi.org/10.1016/S2213-8587(20)30370-3</w:t>
        </w:r>
      </w:hyperlink>
      <w:r w:rsidRPr="009A6868">
        <w:rPr>
          <w:rFonts w:ascii="Arial" w:hAnsi="Arial" w:cs="Arial"/>
        </w:rPr>
        <w:t>.</w:t>
      </w:r>
    </w:p>
    <w:p w14:paraId="5BBEB598" w14:textId="3768872C" w:rsidR="006F639B" w:rsidRDefault="006F639B" w:rsidP="006F639B">
      <w:pPr>
        <w:pStyle w:val="NormalWeb"/>
        <w:jc w:val="both"/>
        <w:rPr>
          <w:rFonts w:ascii="Arial" w:hAnsi="Arial" w:cs="Arial"/>
        </w:rPr>
      </w:pPr>
      <w:r>
        <w:rPr>
          <w:rFonts w:ascii="Arial" w:hAnsi="Arial" w:cs="Arial"/>
        </w:rPr>
        <w:t>3.</w:t>
      </w:r>
      <w:r w:rsidR="0021024B">
        <w:rPr>
          <w:rFonts w:ascii="Arial" w:hAnsi="Arial" w:cs="Arial"/>
        </w:rPr>
        <w:t xml:space="preserve">  </w:t>
      </w:r>
      <w:r w:rsidRPr="00E35960">
        <w:rPr>
          <w:rFonts w:ascii="Arial" w:hAnsi="Arial" w:cs="Arial"/>
        </w:rPr>
        <w:t xml:space="preserve">Formiga MCC, Ramos PCF, Costa NDL, Silveira KF, Lima ALB. Um recorte da transição nutricional no Brasil: trajetória da mortalidade por doenças endócrinas, nutricionais e metabólicas (DENM) no contexto das desigualdades sociais. In: VI Congresso da </w:t>
      </w:r>
      <w:r w:rsidRPr="00E35960">
        <w:rPr>
          <w:rFonts w:ascii="Arial" w:hAnsi="Arial" w:cs="Arial"/>
        </w:rPr>
        <w:lastRenderedPageBreak/>
        <w:t xml:space="preserve">Associação Latino-Americana de População; 2014 ago 12–15; Lima, Peru. Lima: ALAP; 2014. Disponível em: </w:t>
      </w:r>
      <w:hyperlink r:id="rId16" w:tgtFrame="_new" w:history="1">
        <w:r w:rsidRPr="00E35960">
          <w:rPr>
            <w:rStyle w:val="Hyperlink"/>
            <w:rFonts w:ascii="Arial" w:hAnsi="Arial" w:cs="Arial"/>
            <w:color w:val="auto"/>
          </w:rPr>
          <w:t>https://www.researchgate.net/publication/306608871</w:t>
        </w:r>
      </w:hyperlink>
    </w:p>
    <w:p w14:paraId="186C8F3B" w14:textId="75C5CDE1" w:rsidR="00D61192" w:rsidRPr="00D61192" w:rsidRDefault="00D61192" w:rsidP="006F639B">
      <w:pPr>
        <w:pStyle w:val="NormalWeb"/>
        <w:jc w:val="both"/>
        <w:rPr>
          <w:rFonts w:ascii="Arial" w:hAnsi="Arial" w:cs="Arial"/>
        </w:rPr>
      </w:pPr>
      <w:r>
        <w:rPr>
          <w:rFonts w:ascii="Arial" w:hAnsi="Arial" w:cs="Arial"/>
          <w:shd w:val="clear" w:color="auto" w:fill="FFFFFF"/>
        </w:rPr>
        <w:t xml:space="preserve">4. </w:t>
      </w:r>
      <w:r w:rsidR="007065FC">
        <w:rPr>
          <w:rFonts w:ascii="Arial" w:hAnsi="Arial" w:cs="Arial"/>
          <w:shd w:val="clear" w:color="auto" w:fill="FFFFFF"/>
        </w:rPr>
        <w:t>Bezerra PC</w:t>
      </w:r>
      <w:r w:rsidRPr="00D61192">
        <w:rPr>
          <w:rFonts w:ascii="Arial" w:hAnsi="Arial" w:cs="Arial"/>
          <w:shd w:val="clear" w:color="auto" w:fill="FFFFFF"/>
        </w:rPr>
        <w:t xml:space="preserve">L, Monteiro GTR. </w:t>
      </w:r>
      <w:r w:rsidRPr="003A6BDF">
        <w:rPr>
          <w:rFonts w:ascii="Arial" w:hAnsi="Arial" w:cs="Arial"/>
          <w:shd w:val="clear" w:color="auto" w:fill="FFFFFF"/>
          <w:lang w:val="en-US"/>
        </w:rPr>
        <w:t xml:space="preserve">Trends in overall mortality and from diseases of the circulatory system in elderly individuals in Rio Branco, Acre, 1980-2012. </w:t>
      </w:r>
      <w:r w:rsidRPr="00D61192">
        <w:rPr>
          <w:rFonts w:ascii="Arial" w:hAnsi="Arial" w:cs="Arial"/>
          <w:shd w:val="clear" w:color="auto" w:fill="FFFFFF"/>
        </w:rPr>
        <w:t>Rev Bras Geriatr Gerontol [Internet]. 2018;21(2):143–54. Disponível em: http://dx.doi.org/10.1590/1981-22562018021.170128</w:t>
      </w:r>
    </w:p>
    <w:p w14:paraId="33C99EBC" w14:textId="41713986" w:rsidR="009A6868" w:rsidRDefault="002D70F4" w:rsidP="009A6868">
      <w:pPr>
        <w:pStyle w:val="NormalWeb"/>
        <w:jc w:val="both"/>
        <w:rPr>
          <w:rFonts w:ascii="Arial" w:hAnsi="Arial" w:cs="Arial"/>
        </w:rPr>
      </w:pPr>
      <w:r>
        <w:rPr>
          <w:rFonts w:ascii="Arial" w:hAnsi="Arial" w:cs="Arial"/>
        </w:rPr>
        <w:t xml:space="preserve">5. </w:t>
      </w:r>
      <w:r w:rsidR="009A6868" w:rsidRPr="009A6868">
        <w:rPr>
          <w:rFonts w:ascii="Arial" w:hAnsi="Arial" w:cs="Arial"/>
        </w:rPr>
        <w:t>Calazans J</w:t>
      </w:r>
      <w:r w:rsidR="007065FC">
        <w:rPr>
          <w:rFonts w:ascii="Arial" w:hAnsi="Arial" w:cs="Arial"/>
        </w:rPr>
        <w:t>A</w:t>
      </w:r>
      <w:r w:rsidR="009A6868" w:rsidRPr="009A6868">
        <w:rPr>
          <w:rFonts w:ascii="Arial" w:hAnsi="Arial" w:cs="Arial"/>
        </w:rPr>
        <w:t xml:space="preserve">, Guimarães R, Nepomuceno MR. Diferenciais regionais da mortalidade no Brasil: contribuição dos grupos etários e de causas de óbito sobre a variação da esperança de vida e da dispersão da idade à morte entre 2008 e 2018. Rev Bras Estud Popul. 2023;40:1–23. Disponível em: </w:t>
      </w:r>
      <w:hyperlink r:id="rId17" w:tgtFrame="_new" w:history="1">
        <w:r w:rsidR="009A6868" w:rsidRPr="009A6868">
          <w:rPr>
            <w:rStyle w:val="Hyperlink"/>
            <w:rFonts w:ascii="Arial" w:hAnsi="Arial" w:cs="Arial"/>
            <w:color w:val="auto"/>
          </w:rPr>
          <w:t>http://dx.doi.org/10.20947/s0102-3098a0244</w:t>
        </w:r>
      </w:hyperlink>
      <w:r w:rsidR="009A6868" w:rsidRPr="009A6868">
        <w:rPr>
          <w:rFonts w:ascii="Arial" w:hAnsi="Arial" w:cs="Arial"/>
        </w:rPr>
        <w:t>.</w:t>
      </w:r>
    </w:p>
    <w:p w14:paraId="2E70CCF5" w14:textId="6F66B966" w:rsidR="002D70F4" w:rsidRPr="009A6868" w:rsidRDefault="00040B9B" w:rsidP="002D70F4">
      <w:pPr>
        <w:pStyle w:val="NormalWeb"/>
        <w:jc w:val="both"/>
        <w:rPr>
          <w:rFonts w:ascii="Arial" w:hAnsi="Arial" w:cs="Arial"/>
        </w:rPr>
      </w:pPr>
      <w:r>
        <w:rPr>
          <w:rFonts w:ascii="Arial" w:hAnsi="Arial" w:cs="Arial"/>
        </w:rPr>
        <w:t xml:space="preserve">6. </w:t>
      </w:r>
      <w:r w:rsidR="002D70F4" w:rsidRPr="009A6868">
        <w:rPr>
          <w:rFonts w:ascii="Arial" w:hAnsi="Arial" w:cs="Arial"/>
        </w:rPr>
        <w:t xml:space="preserve">Duncan BB, Cousin E, Naghavi M, Afshin A, França EB, Passos VMA, et al. </w:t>
      </w:r>
      <w:r w:rsidR="002D70F4" w:rsidRPr="003A6BDF">
        <w:rPr>
          <w:rFonts w:ascii="Arial" w:hAnsi="Arial" w:cs="Arial"/>
          <w:lang w:val="en-US"/>
        </w:rPr>
        <w:t xml:space="preserve">The burden of diabetes and hyperglycemia in Brazil: a global burden of disease study 2017. </w:t>
      </w:r>
      <w:r w:rsidR="002D70F4" w:rsidRPr="009A6868">
        <w:rPr>
          <w:rFonts w:ascii="Arial" w:hAnsi="Arial" w:cs="Arial"/>
        </w:rPr>
        <w:t xml:space="preserve">Popul Health Metr. 2020;18(Suppl 1):9. Disponível em: </w:t>
      </w:r>
      <w:hyperlink r:id="rId18" w:tgtFrame="_new" w:history="1">
        <w:r w:rsidR="002D70F4" w:rsidRPr="009A6868">
          <w:rPr>
            <w:rStyle w:val="Hyperlink"/>
            <w:rFonts w:ascii="Arial" w:hAnsi="Arial" w:cs="Arial"/>
            <w:color w:val="auto"/>
          </w:rPr>
          <w:t>http://dx.doi.org/10.1186/s12963-020-00209-0</w:t>
        </w:r>
      </w:hyperlink>
      <w:r w:rsidR="002D70F4" w:rsidRPr="009A6868">
        <w:rPr>
          <w:rFonts w:ascii="Arial" w:hAnsi="Arial" w:cs="Arial"/>
        </w:rPr>
        <w:t>.</w:t>
      </w:r>
    </w:p>
    <w:p w14:paraId="0BB90A83" w14:textId="61494CD3" w:rsidR="002D70F4" w:rsidRPr="009A6868" w:rsidRDefault="00040B9B" w:rsidP="009A6868">
      <w:pPr>
        <w:pStyle w:val="NormalWeb"/>
        <w:jc w:val="both"/>
        <w:rPr>
          <w:rFonts w:ascii="Arial" w:hAnsi="Arial" w:cs="Arial"/>
        </w:rPr>
      </w:pPr>
      <w:r>
        <w:rPr>
          <w:rFonts w:ascii="Arial" w:hAnsi="Arial" w:cs="Arial"/>
        </w:rPr>
        <w:t xml:space="preserve">7. </w:t>
      </w:r>
      <w:r w:rsidR="002D70F4" w:rsidRPr="009A6868">
        <w:rPr>
          <w:rFonts w:ascii="Arial" w:hAnsi="Arial" w:cs="Arial"/>
        </w:rPr>
        <w:t xml:space="preserve">Moreira PVL, Arruda Neta ACP, Ferreira FELL, Araujo JM, Rodrigues REA, Lima RLFC, et al. </w:t>
      </w:r>
      <w:r w:rsidR="002D70F4" w:rsidRPr="003A6BDF">
        <w:rPr>
          <w:rFonts w:ascii="Arial" w:hAnsi="Arial" w:cs="Arial"/>
          <w:lang w:val="en-US"/>
        </w:rPr>
        <w:t xml:space="preserve">Predicting the prevalence of type 2 diabetes in Brazil: a modeling study. Front Public Health. 2024;12:1275167. </w:t>
      </w:r>
      <w:r w:rsidR="002D70F4" w:rsidRPr="009A6868">
        <w:rPr>
          <w:rFonts w:ascii="Arial" w:hAnsi="Arial" w:cs="Arial"/>
        </w:rPr>
        <w:t xml:space="preserve">Disponível em: </w:t>
      </w:r>
      <w:hyperlink r:id="rId19" w:tgtFrame="_new" w:history="1">
        <w:r w:rsidR="002D70F4" w:rsidRPr="009A6868">
          <w:rPr>
            <w:rStyle w:val="Hyperlink"/>
            <w:rFonts w:ascii="Arial" w:hAnsi="Arial" w:cs="Arial"/>
            <w:color w:val="auto"/>
          </w:rPr>
          <w:t>http://dx.doi.org/10.3389/fpubh.2024.1275167</w:t>
        </w:r>
      </w:hyperlink>
      <w:r w:rsidR="002D70F4" w:rsidRPr="009A6868">
        <w:rPr>
          <w:rFonts w:ascii="Arial" w:hAnsi="Arial" w:cs="Arial"/>
        </w:rPr>
        <w:t>.</w:t>
      </w:r>
    </w:p>
    <w:p w14:paraId="0311E662" w14:textId="18A6EC57" w:rsidR="00040B9B" w:rsidRPr="009A6868" w:rsidRDefault="00040B9B" w:rsidP="00040B9B">
      <w:pPr>
        <w:pStyle w:val="NormalWeb"/>
        <w:jc w:val="both"/>
        <w:rPr>
          <w:rFonts w:ascii="Arial" w:hAnsi="Arial" w:cs="Arial"/>
        </w:rPr>
      </w:pPr>
      <w:r>
        <w:rPr>
          <w:rFonts w:ascii="Arial" w:hAnsi="Arial" w:cs="Arial"/>
        </w:rPr>
        <w:t xml:space="preserve">8. </w:t>
      </w:r>
      <w:r w:rsidRPr="009A6868">
        <w:rPr>
          <w:rFonts w:ascii="Arial" w:hAnsi="Arial" w:cs="Arial"/>
        </w:rPr>
        <w:t xml:space="preserve">Pinto GSP, Laguna GGC, Lima AOF, Bueno R, Santos IFF, Moreira RFN, et al. Internações hospitalares por desnutrição infantil no Brasil: um panorama epidemiológico dos últimos 10 anos. Medicina (Ribeirão Preto Online). 2024;57(1). Disponível em: </w:t>
      </w:r>
      <w:hyperlink r:id="rId20" w:tgtFrame="_new" w:history="1">
        <w:r w:rsidRPr="009A6868">
          <w:rPr>
            <w:rStyle w:val="Hyperlink"/>
            <w:rFonts w:ascii="Arial" w:hAnsi="Arial" w:cs="Arial"/>
            <w:color w:val="auto"/>
          </w:rPr>
          <w:t>http://dx.doi.org/10.11606/issn.2176-7262.rmrp.2024.209224</w:t>
        </w:r>
      </w:hyperlink>
      <w:r w:rsidRPr="009A6868">
        <w:rPr>
          <w:rFonts w:ascii="Arial" w:hAnsi="Arial" w:cs="Arial"/>
        </w:rPr>
        <w:t>.</w:t>
      </w:r>
    </w:p>
    <w:p w14:paraId="52B5E3E8" w14:textId="160250A2" w:rsidR="00040B9B" w:rsidRDefault="00040B9B" w:rsidP="009A6868">
      <w:pPr>
        <w:pStyle w:val="NormalWeb"/>
        <w:jc w:val="both"/>
        <w:rPr>
          <w:rFonts w:ascii="Arial" w:hAnsi="Arial" w:cs="Arial"/>
        </w:rPr>
      </w:pPr>
      <w:r>
        <w:rPr>
          <w:rFonts w:ascii="Arial" w:hAnsi="Arial" w:cs="Arial"/>
        </w:rPr>
        <w:t xml:space="preserve">9. </w:t>
      </w:r>
      <w:r w:rsidRPr="009A6868">
        <w:rPr>
          <w:rFonts w:ascii="Arial" w:hAnsi="Arial" w:cs="Arial"/>
        </w:rPr>
        <w:t xml:space="preserve">Costa LSG, Lima CAN, Rodrigues PS, Silva NS, Ferreira POS, Lima NBB, et al. Morbimortalidade infantil no Nordeste do Brasil por desnutrição e outras deficiências nutricionais. Rev Foco. 2023;16(8):e2736. Disponível em: </w:t>
      </w:r>
      <w:hyperlink r:id="rId21" w:tgtFrame="_new" w:history="1">
        <w:r w:rsidRPr="009A6868">
          <w:rPr>
            <w:rStyle w:val="Hyperlink"/>
            <w:rFonts w:ascii="Arial" w:hAnsi="Arial" w:cs="Arial"/>
            <w:color w:val="auto"/>
          </w:rPr>
          <w:t>http://dx.doi.org/10.54751/revistafoco.v16n8-121</w:t>
        </w:r>
      </w:hyperlink>
      <w:r w:rsidRPr="009A6868">
        <w:rPr>
          <w:rFonts w:ascii="Arial" w:hAnsi="Arial" w:cs="Arial"/>
        </w:rPr>
        <w:t>.</w:t>
      </w:r>
    </w:p>
    <w:p w14:paraId="71DC1304" w14:textId="483902DD" w:rsidR="00A86D7C" w:rsidRPr="000A5887" w:rsidRDefault="00A86D7C" w:rsidP="000A5887">
      <w:pPr>
        <w:jc w:val="both"/>
        <w:rPr>
          <w:rFonts w:ascii="Arial" w:hAnsi="Arial" w:cs="Arial"/>
          <w:b/>
          <w:bCs/>
        </w:rPr>
      </w:pPr>
      <w:r w:rsidRPr="00A86D7C">
        <w:rPr>
          <w:rFonts w:ascii="Arial" w:hAnsi="Arial" w:cs="Arial"/>
        </w:rPr>
        <w:t xml:space="preserve">10. Brasil.  Ministério da Saúde.  Departamento de Informática do Sistema Único de Saúde. </w:t>
      </w:r>
      <w:r w:rsidR="000A5887" w:rsidRPr="000A5887">
        <w:rPr>
          <w:rFonts w:ascii="Arial" w:hAnsi="Arial" w:cs="Arial"/>
          <w:bCs/>
        </w:rPr>
        <w:t>Morbidade Hospitalar do SUS (SIH/SUS)</w:t>
      </w:r>
      <w:r w:rsidR="000A5887" w:rsidRPr="000A5887">
        <w:rPr>
          <w:rFonts w:ascii="Trebuchet MS" w:hAnsi="Trebuchet MS"/>
          <w:i/>
          <w:iCs/>
          <w:caps/>
          <w:color w:val="00A0E2"/>
        </w:rPr>
        <w:t xml:space="preserve"> </w:t>
      </w:r>
      <w:r w:rsidR="000A5887">
        <w:rPr>
          <w:rFonts w:ascii="Arial" w:hAnsi="Arial" w:cs="Arial"/>
          <w:bCs/>
        </w:rPr>
        <w:t>–</w:t>
      </w:r>
      <w:r w:rsidR="000A5887" w:rsidRPr="000A5887">
        <w:rPr>
          <w:rFonts w:ascii="Arial" w:hAnsi="Arial" w:cs="Arial"/>
          <w:bCs/>
        </w:rPr>
        <w:t xml:space="preserve"> P</w:t>
      </w:r>
      <w:r w:rsidR="000A5887">
        <w:rPr>
          <w:rFonts w:ascii="Arial" w:hAnsi="Arial" w:cs="Arial"/>
          <w:bCs/>
        </w:rPr>
        <w:t xml:space="preserve">or Local de Internação </w:t>
      </w:r>
      <w:r w:rsidR="000A5887" w:rsidRPr="000A5887">
        <w:rPr>
          <w:rFonts w:ascii="Arial" w:hAnsi="Arial" w:cs="Arial"/>
          <w:bCs/>
        </w:rPr>
        <w:t xml:space="preserve">- </w:t>
      </w:r>
      <w:r w:rsidR="00EB0DAF">
        <w:rPr>
          <w:rFonts w:ascii="Arial" w:hAnsi="Arial" w:cs="Arial"/>
          <w:bCs/>
        </w:rPr>
        <w:t>Brasil</w:t>
      </w:r>
      <w:r w:rsidR="000A5887">
        <w:rPr>
          <w:rFonts w:ascii="Arial" w:hAnsi="Arial" w:cs="Arial"/>
          <w:bCs/>
        </w:rPr>
        <w:t xml:space="preserve"> </w:t>
      </w:r>
      <w:r w:rsidR="000A5887" w:rsidRPr="000A5887">
        <w:rPr>
          <w:rFonts w:ascii="Arial" w:hAnsi="Arial" w:cs="Arial"/>
        </w:rPr>
        <w:t>[</w:t>
      </w:r>
      <w:r w:rsidRPr="000A5887">
        <w:rPr>
          <w:rFonts w:ascii="Arial" w:hAnsi="Arial" w:cs="Arial"/>
        </w:rPr>
        <w:t xml:space="preserve">Internet]. Brasília: Ministério da Saúde; 2025. </w:t>
      </w:r>
      <w:r w:rsidR="00CF75FD" w:rsidRPr="000A5887">
        <w:rPr>
          <w:rFonts w:ascii="Arial" w:hAnsi="Arial" w:cs="Arial"/>
        </w:rPr>
        <w:t xml:space="preserve">Disponível em: </w:t>
      </w:r>
      <w:hyperlink r:id="rId22" w:history="1">
        <w:r w:rsidR="000A5887" w:rsidRPr="000A5887">
          <w:rPr>
            <w:rStyle w:val="Hyperlink"/>
            <w:rFonts w:ascii="Arial" w:hAnsi="Arial" w:cs="Arial"/>
            <w:color w:val="auto"/>
          </w:rPr>
          <w:t>http://tabnet.datasus.gov.br/cgi/deftohtm.exe?sih/cnv/niuf.def</w:t>
        </w:r>
      </w:hyperlink>
      <w:r w:rsidR="000A5887" w:rsidRPr="000A5887">
        <w:rPr>
          <w:rFonts w:ascii="Arial" w:hAnsi="Arial" w:cs="Arial"/>
        </w:rPr>
        <w:t xml:space="preserve">. </w:t>
      </w:r>
    </w:p>
    <w:p w14:paraId="30E50E7A" w14:textId="5C8A303D" w:rsidR="009E7765" w:rsidRDefault="009E7765" w:rsidP="009A6868">
      <w:pPr>
        <w:pStyle w:val="NormalWeb"/>
        <w:jc w:val="both"/>
        <w:rPr>
          <w:rFonts w:ascii="Arial" w:hAnsi="Arial" w:cs="Arial"/>
        </w:rPr>
      </w:pPr>
      <w:r>
        <w:rPr>
          <w:rFonts w:ascii="Arial" w:hAnsi="Arial" w:cs="Arial"/>
        </w:rPr>
        <w:t xml:space="preserve">11. </w:t>
      </w:r>
      <w:r w:rsidRPr="009A6868">
        <w:rPr>
          <w:rFonts w:ascii="Arial" w:hAnsi="Arial" w:cs="Arial"/>
        </w:rPr>
        <w:t xml:space="preserve">Rossi L, Pescador MVB. Perfil epidemiológico das doenças endócrinas e metabólicas no estado do Paraná entre 2019 e 2023. Rev Ibero-Am Humanid Cienc Educ. 2024;10(9):2452–60. Disponível em: </w:t>
      </w:r>
      <w:hyperlink r:id="rId23" w:tgtFrame="_new" w:history="1">
        <w:r w:rsidRPr="009A6868">
          <w:rPr>
            <w:rStyle w:val="Hyperlink"/>
            <w:rFonts w:ascii="Arial" w:hAnsi="Arial" w:cs="Arial"/>
            <w:color w:val="auto"/>
          </w:rPr>
          <w:t>http://dx.doi.org/10.51891/rease.v10i9.15676</w:t>
        </w:r>
      </w:hyperlink>
      <w:r w:rsidRPr="009A6868">
        <w:rPr>
          <w:rFonts w:ascii="Arial" w:hAnsi="Arial" w:cs="Arial"/>
        </w:rPr>
        <w:t>.</w:t>
      </w:r>
    </w:p>
    <w:p w14:paraId="29693CD2" w14:textId="0039D761" w:rsidR="009E7765" w:rsidRDefault="009E7765" w:rsidP="009A6868">
      <w:pPr>
        <w:pStyle w:val="NormalWeb"/>
        <w:jc w:val="both"/>
        <w:rPr>
          <w:rFonts w:ascii="Arial" w:hAnsi="Arial" w:cs="Arial"/>
        </w:rPr>
      </w:pPr>
      <w:r>
        <w:rPr>
          <w:rFonts w:ascii="Arial" w:hAnsi="Arial" w:cs="Arial"/>
        </w:rPr>
        <w:t xml:space="preserve">12. </w:t>
      </w:r>
      <w:r w:rsidRPr="009A6868">
        <w:rPr>
          <w:rFonts w:ascii="Arial" w:hAnsi="Arial" w:cs="Arial"/>
        </w:rPr>
        <w:t xml:space="preserve">Cruz SA, Araujo IM, Silva JBM, Jucá YF, Lopes LP, Almeida ACM, et al. Análise do índice de mortalidade associada a doenças endócrinas, nutricionais e metabólicas no Brasil entre 2010 e 2019. Braz J Health Rev. 2021;4(4):16786–800. Disponível em: </w:t>
      </w:r>
      <w:hyperlink r:id="rId24" w:tgtFrame="_new" w:history="1">
        <w:r w:rsidRPr="009A6868">
          <w:rPr>
            <w:rStyle w:val="Hyperlink"/>
            <w:rFonts w:ascii="Arial" w:hAnsi="Arial" w:cs="Arial"/>
            <w:color w:val="auto"/>
          </w:rPr>
          <w:t>http://dx.doi.org/10.34119/bjhrv4n4-191</w:t>
        </w:r>
      </w:hyperlink>
      <w:r w:rsidRPr="009A6868">
        <w:rPr>
          <w:rFonts w:ascii="Arial" w:hAnsi="Arial" w:cs="Arial"/>
        </w:rPr>
        <w:t>.</w:t>
      </w:r>
    </w:p>
    <w:p w14:paraId="2173FA84" w14:textId="23396FB9" w:rsidR="00FB75D5" w:rsidRDefault="00FB75D5" w:rsidP="009A6868">
      <w:pPr>
        <w:pStyle w:val="NormalWeb"/>
        <w:jc w:val="both"/>
        <w:rPr>
          <w:rFonts w:ascii="Arial" w:hAnsi="Arial" w:cs="Arial"/>
        </w:rPr>
      </w:pPr>
      <w:r>
        <w:rPr>
          <w:rFonts w:ascii="Arial" w:hAnsi="Arial" w:cs="Arial"/>
        </w:rPr>
        <w:t xml:space="preserve">13. </w:t>
      </w:r>
      <w:r w:rsidRPr="009A6868">
        <w:rPr>
          <w:rFonts w:ascii="Arial" w:hAnsi="Arial" w:cs="Arial"/>
        </w:rPr>
        <w:t xml:space="preserve">Sato MSS, Silva ACR, Sousa OD, Viana AM, Rodrigues YS, Tomé ER, et al. Aspectos epidemiológicos das doenças endócrinas, nutricionais e metabólicas no Paraná comparados ao cenário nacional (2019–2023). Arq Cienc Saúde UNIPAR. 2025;29(2):610–24. Disponível em: </w:t>
      </w:r>
      <w:hyperlink r:id="rId25" w:tgtFrame="_new" w:history="1">
        <w:r w:rsidRPr="009A6868">
          <w:rPr>
            <w:rStyle w:val="Hyperlink"/>
            <w:rFonts w:ascii="Arial" w:hAnsi="Arial" w:cs="Arial"/>
            <w:color w:val="auto"/>
          </w:rPr>
          <w:t>http://dx.doi.org/10.25110/arqsaude.v29i2.2025-11893</w:t>
        </w:r>
      </w:hyperlink>
      <w:r w:rsidRPr="009A6868">
        <w:rPr>
          <w:rFonts w:ascii="Arial" w:hAnsi="Arial" w:cs="Arial"/>
        </w:rPr>
        <w:t>.</w:t>
      </w:r>
    </w:p>
    <w:p w14:paraId="53AC52E4" w14:textId="55A232BF" w:rsidR="009B125A" w:rsidRPr="003F310A" w:rsidRDefault="003F310A" w:rsidP="009A6868">
      <w:pPr>
        <w:pStyle w:val="NormalWeb"/>
        <w:jc w:val="both"/>
        <w:rPr>
          <w:rFonts w:ascii="Arial" w:hAnsi="Arial" w:cs="Arial"/>
        </w:rPr>
      </w:pPr>
      <w:r>
        <w:rPr>
          <w:rFonts w:ascii="Arial" w:hAnsi="Arial" w:cs="Arial"/>
          <w:shd w:val="clear" w:color="auto" w:fill="FFFFFF"/>
        </w:rPr>
        <w:lastRenderedPageBreak/>
        <w:t xml:space="preserve">14. </w:t>
      </w:r>
      <w:r w:rsidR="009B125A" w:rsidRPr="003F310A">
        <w:rPr>
          <w:rFonts w:ascii="Arial" w:hAnsi="Arial" w:cs="Arial"/>
          <w:shd w:val="clear" w:color="auto" w:fill="FFFFFF"/>
        </w:rPr>
        <w:t xml:space="preserve">Gomes DE, Silva TF da, Rocha L dos S, Freitas YNL de, Lessa A do C, Freitas RF. Tendência temporal da mortalidade por desnutrição proteico-calórica em pessoas idosas no Brasil, no período de 2000 – 2021. Rev Bras Geriatr Gerontol [Internet]. 2024;27. Disponível em: </w:t>
      </w:r>
      <w:hyperlink r:id="rId26" w:history="1">
        <w:r w:rsidRPr="003F310A">
          <w:rPr>
            <w:rStyle w:val="Hyperlink"/>
            <w:rFonts w:ascii="Arial" w:hAnsi="Arial" w:cs="Arial"/>
            <w:color w:val="auto"/>
            <w:shd w:val="clear" w:color="auto" w:fill="FFFFFF"/>
          </w:rPr>
          <w:t>http://dx.doi.org/10.1590/1981-22562024027.240035.pt</w:t>
        </w:r>
      </w:hyperlink>
      <w:r w:rsidRPr="003F310A">
        <w:rPr>
          <w:rFonts w:ascii="Arial" w:hAnsi="Arial" w:cs="Arial"/>
          <w:shd w:val="clear" w:color="auto" w:fill="FFFFFF"/>
        </w:rPr>
        <w:t xml:space="preserve">. </w:t>
      </w:r>
    </w:p>
    <w:p w14:paraId="5B72AE08" w14:textId="4E5E0CA7" w:rsidR="00F629EF" w:rsidRDefault="00F629EF" w:rsidP="009A6868">
      <w:pPr>
        <w:pStyle w:val="NormalWeb"/>
        <w:jc w:val="both"/>
        <w:rPr>
          <w:rFonts w:ascii="Arial" w:hAnsi="Arial" w:cs="Arial"/>
        </w:rPr>
      </w:pPr>
      <w:r>
        <w:rPr>
          <w:rFonts w:ascii="Arial" w:hAnsi="Arial" w:cs="Arial"/>
        </w:rPr>
        <w:t xml:space="preserve">15. </w:t>
      </w:r>
      <w:r w:rsidRPr="009A6868">
        <w:rPr>
          <w:rFonts w:ascii="Arial" w:hAnsi="Arial" w:cs="Arial"/>
        </w:rPr>
        <w:t xml:space="preserve">Freitas ABB, Costa MD, Nóbrega FRR, Costa BB, Santos SMF, Reis TAG, et al. Características epidemiológicas da desnutrição em crianças e adolescentes no Brasil. Braz J Implantol Health Sci. 2024;6(9):3812–22. Disponível em: </w:t>
      </w:r>
      <w:hyperlink r:id="rId27" w:tgtFrame="_new" w:history="1">
        <w:r w:rsidRPr="009A6868">
          <w:rPr>
            <w:rStyle w:val="Hyperlink"/>
            <w:rFonts w:ascii="Arial" w:hAnsi="Arial" w:cs="Arial"/>
            <w:color w:val="auto"/>
          </w:rPr>
          <w:t>http://dx.doi.org/10.36557/2674-8169.2024v6n9p3812-3822</w:t>
        </w:r>
      </w:hyperlink>
      <w:r w:rsidRPr="009A6868">
        <w:rPr>
          <w:rFonts w:ascii="Arial" w:hAnsi="Arial" w:cs="Arial"/>
        </w:rPr>
        <w:t>.</w:t>
      </w:r>
    </w:p>
    <w:p w14:paraId="39D97755" w14:textId="2C24F130" w:rsidR="00573308" w:rsidRPr="009A6868" w:rsidRDefault="00573308" w:rsidP="00573308">
      <w:pPr>
        <w:pStyle w:val="NormalWeb"/>
        <w:jc w:val="both"/>
        <w:rPr>
          <w:rFonts w:ascii="Arial" w:hAnsi="Arial" w:cs="Arial"/>
        </w:rPr>
      </w:pPr>
      <w:r w:rsidRPr="003A6BDF">
        <w:rPr>
          <w:rFonts w:ascii="Arial" w:hAnsi="Arial" w:cs="Arial"/>
          <w:lang w:val="en-US"/>
        </w:rPr>
        <w:t xml:space="preserve">16. McBenedict B, Hauwanga W, Lizarazo JF, Djeagou A, Akram I. Diabetes mellitus mortality trends in Brazil from 2000 to 2021: an in-depth joinpoint analysis. </w:t>
      </w:r>
      <w:r w:rsidRPr="009A6868">
        <w:rPr>
          <w:rFonts w:ascii="Arial" w:hAnsi="Arial" w:cs="Arial"/>
        </w:rPr>
        <w:t xml:space="preserve">Cureus. 2024;16(1):e51632. Disponível em: </w:t>
      </w:r>
      <w:hyperlink r:id="rId28" w:tgtFrame="_new" w:history="1">
        <w:r w:rsidRPr="009A6868">
          <w:rPr>
            <w:rStyle w:val="Hyperlink"/>
            <w:rFonts w:ascii="Arial" w:hAnsi="Arial" w:cs="Arial"/>
            <w:color w:val="auto"/>
          </w:rPr>
          <w:t>http://dx.doi.org/10.7759/cureus.51632</w:t>
        </w:r>
      </w:hyperlink>
      <w:r w:rsidRPr="009A6868">
        <w:rPr>
          <w:rFonts w:ascii="Arial" w:hAnsi="Arial" w:cs="Arial"/>
        </w:rPr>
        <w:t>.</w:t>
      </w:r>
    </w:p>
    <w:p w14:paraId="75406757" w14:textId="00578A21" w:rsidR="009A6868" w:rsidRPr="009A6868" w:rsidRDefault="00573308" w:rsidP="009A6868">
      <w:pPr>
        <w:pStyle w:val="NormalWeb"/>
        <w:jc w:val="both"/>
        <w:rPr>
          <w:rFonts w:ascii="Arial" w:hAnsi="Arial" w:cs="Arial"/>
        </w:rPr>
      </w:pPr>
      <w:r>
        <w:rPr>
          <w:rFonts w:ascii="Arial" w:hAnsi="Arial" w:cs="Arial"/>
        </w:rPr>
        <w:t xml:space="preserve">17. </w:t>
      </w:r>
      <w:r w:rsidR="009A6868" w:rsidRPr="009A6868">
        <w:rPr>
          <w:rFonts w:ascii="Arial" w:hAnsi="Arial" w:cs="Arial"/>
        </w:rPr>
        <w:t xml:space="preserve">Bracco PA, Gregg EW, Rolka DB, Schmidt MI, Barreto SM, Lotufo PA, et al. </w:t>
      </w:r>
      <w:r w:rsidR="009A6868" w:rsidRPr="003A6BDF">
        <w:rPr>
          <w:rFonts w:ascii="Arial" w:hAnsi="Arial" w:cs="Arial"/>
          <w:lang w:val="en-US"/>
        </w:rPr>
        <w:t xml:space="preserve">Lifetime risk of developing diabetes and years of life lost among those with diabetes in Brazil. J Glob Health. 2021;11:04041. </w:t>
      </w:r>
      <w:r w:rsidR="009A6868" w:rsidRPr="009A6868">
        <w:rPr>
          <w:rFonts w:ascii="Arial" w:hAnsi="Arial" w:cs="Arial"/>
        </w:rPr>
        <w:t xml:space="preserve">Disponível em: </w:t>
      </w:r>
      <w:hyperlink r:id="rId29" w:tgtFrame="_new" w:history="1">
        <w:r w:rsidR="009A6868" w:rsidRPr="009A6868">
          <w:rPr>
            <w:rStyle w:val="Hyperlink"/>
            <w:rFonts w:ascii="Arial" w:hAnsi="Arial" w:cs="Arial"/>
            <w:color w:val="auto"/>
          </w:rPr>
          <w:t>http://dx.doi.org/10.7189/jogh.11.04041</w:t>
        </w:r>
      </w:hyperlink>
      <w:r w:rsidR="009A6868" w:rsidRPr="009A6868">
        <w:rPr>
          <w:rFonts w:ascii="Arial" w:hAnsi="Arial" w:cs="Arial"/>
        </w:rPr>
        <w:t>.</w:t>
      </w:r>
    </w:p>
    <w:p w14:paraId="54B814EC" w14:textId="0E08F125" w:rsidR="00CD5314" w:rsidRPr="009A6868" w:rsidRDefault="00CD5314" w:rsidP="00CD5314">
      <w:pPr>
        <w:pStyle w:val="NormalWeb"/>
        <w:jc w:val="both"/>
        <w:rPr>
          <w:rFonts w:ascii="Arial" w:hAnsi="Arial" w:cs="Arial"/>
        </w:rPr>
      </w:pPr>
      <w:r>
        <w:rPr>
          <w:rFonts w:ascii="Arial" w:hAnsi="Arial" w:cs="Arial"/>
        </w:rPr>
        <w:t xml:space="preserve">18. </w:t>
      </w:r>
      <w:r w:rsidRPr="009A6868">
        <w:rPr>
          <w:rFonts w:ascii="Arial" w:hAnsi="Arial" w:cs="Arial"/>
        </w:rPr>
        <w:t xml:space="preserve">Silva NJ, Ribeiro-Silva RC, Ferreira AJF, Teixeira CSS, Rocha AS, Alves FJO, et al. </w:t>
      </w:r>
      <w:r w:rsidRPr="003A6BDF">
        <w:rPr>
          <w:rFonts w:ascii="Arial" w:hAnsi="Arial" w:cs="Arial"/>
          <w:lang w:val="en-US"/>
        </w:rPr>
        <w:t xml:space="preserve">Combined association of obesity and other cardiometabolic diseases with severe COVID-19 outcomes: a nationwide cross-sectional study of 21 773 Brazilian adult and elderly inpatients. </w:t>
      </w:r>
      <w:r w:rsidRPr="009A6868">
        <w:rPr>
          <w:rFonts w:ascii="Arial" w:hAnsi="Arial" w:cs="Arial"/>
        </w:rPr>
        <w:t xml:space="preserve">BMJ Open. 2021;11(8):e050739. Disponível em: </w:t>
      </w:r>
      <w:hyperlink r:id="rId30" w:tgtFrame="_new" w:history="1">
        <w:r w:rsidRPr="009A6868">
          <w:rPr>
            <w:rStyle w:val="Hyperlink"/>
            <w:rFonts w:ascii="Arial" w:hAnsi="Arial" w:cs="Arial"/>
            <w:color w:val="auto"/>
          </w:rPr>
          <w:t>http://dx.doi.org/10.1136/bmjopen-2021-050739</w:t>
        </w:r>
      </w:hyperlink>
      <w:r w:rsidRPr="009A6868">
        <w:rPr>
          <w:rFonts w:ascii="Arial" w:hAnsi="Arial" w:cs="Arial"/>
        </w:rPr>
        <w:t>.</w:t>
      </w:r>
    </w:p>
    <w:p w14:paraId="64BBF87A" w14:textId="77777777" w:rsidR="002C2713" w:rsidRPr="002C2713" w:rsidRDefault="002C2713" w:rsidP="002C2713">
      <w:pPr>
        <w:rPr>
          <w:rFonts w:ascii="Arial" w:hAnsi="Arial" w:cs="Arial"/>
        </w:rPr>
      </w:pPr>
    </w:p>
    <w:p w14:paraId="31AF0D85" w14:textId="70FAE0BE" w:rsidR="002C2713" w:rsidRDefault="002C2713" w:rsidP="002C2713">
      <w:pPr>
        <w:rPr>
          <w:rFonts w:ascii="Arial" w:hAnsi="Arial" w:cs="Arial"/>
        </w:rPr>
      </w:pPr>
    </w:p>
    <w:p w14:paraId="638CC6A4" w14:textId="3943AE46" w:rsidR="007B14C2" w:rsidRPr="002C2713" w:rsidRDefault="002C2713" w:rsidP="002C2713">
      <w:pPr>
        <w:tabs>
          <w:tab w:val="left" w:pos="1808"/>
        </w:tabs>
        <w:rPr>
          <w:rFonts w:ascii="Arial" w:hAnsi="Arial" w:cs="Arial"/>
        </w:rPr>
      </w:pPr>
      <w:r>
        <w:rPr>
          <w:rFonts w:ascii="Arial" w:hAnsi="Arial" w:cs="Arial"/>
        </w:rPr>
        <w:tab/>
      </w:r>
    </w:p>
    <w:sectPr w:rsidR="007B14C2" w:rsidRPr="002C2713" w:rsidSect="0086206B">
      <w:headerReference w:type="default" r:id="rId31"/>
      <w:footerReference w:type="default" r:id="rId32"/>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4DD4" w14:textId="77777777" w:rsidR="00E4628E" w:rsidRDefault="00E4628E" w:rsidP="009A09B2">
      <w:r>
        <w:separator/>
      </w:r>
    </w:p>
  </w:endnote>
  <w:endnote w:type="continuationSeparator" w:id="0">
    <w:p w14:paraId="59D237A6" w14:textId="77777777" w:rsidR="00E4628E" w:rsidRDefault="00E4628E"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F43BAD" w:rsidRPr="00CA7157" w:rsidRDefault="00F43BAD"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190A90E4" w:rsidR="00F43BAD" w:rsidRPr="00C53EEB" w:rsidRDefault="00F43BAD"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6A5E5B" w:rsidRPr="006A5E5B">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190A90E4" w:rsidR="00F43BAD" w:rsidRPr="00C53EEB" w:rsidRDefault="00F43BAD"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6A5E5B" w:rsidRPr="006A5E5B">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F43BAD" w:rsidRPr="00E162FF" w:rsidRDefault="00F43BAD"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4D5EC629" w:rsidR="00F43BAD" w:rsidRPr="00310B38" w:rsidRDefault="00F43BAD"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7065FC" w:rsidRPr="007065FC">
                                  <w:rPr>
                                    <w:rFonts w:ascii="Arial" w:hAnsi="Arial" w:cs="Arial"/>
                                    <w:b/>
                                    <w:bCs/>
                                    <w:iCs/>
                                    <w:noProof/>
                                    <w:color w:val="FFFFFF" w:themeColor="background1"/>
                                    <w:sz w:val="36"/>
                                    <w:szCs w:val="36"/>
                                  </w:rPr>
                                  <w:t>12</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4D5EC629" w:rsidR="00F43BAD" w:rsidRPr="00310B38" w:rsidRDefault="00F43BAD"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7065FC" w:rsidRPr="007065FC">
                            <w:rPr>
                              <w:rFonts w:ascii="Arial" w:hAnsi="Arial" w:cs="Arial"/>
                              <w:b/>
                              <w:bCs/>
                              <w:iCs/>
                              <w:noProof/>
                              <w:color w:val="FFFFFF" w:themeColor="background1"/>
                              <w:sz w:val="36"/>
                              <w:szCs w:val="36"/>
                            </w:rPr>
                            <w:t>12</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18BF" w14:textId="77777777" w:rsidR="00E4628E" w:rsidRDefault="00E4628E" w:rsidP="009A09B2">
      <w:r>
        <w:separator/>
      </w:r>
    </w:p>
  </w:footnote>
  <w:footnote w:type="continuationSeparator" w:id="0">
    <w:p w14:paraId="463670D9" w14:textId="77777777" w:rsidR="00E4628E" w:rsidRDefault="00E4628E"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1BA0581F" w:rsidR="00F43BAD" w:rsidRDefault="00C36F4B" w:rsidP="002F3981">
    <w:pPr>
      <w:pStyle w:val="Cabealho"/>
      <w:jc w:val="right"/>
      <w:rPr>
        <w:color w:val="4F81BD" w:themeColor="accent1"/>
      </w:rPr>
    </w:pPr>
    <w:r>
      <w:rPr>
        <w:noProof/>
      </w:rPr>
      <mc:AlternateContent>
        <mc:Choice Requires="wps">
          <w:drawing>
            <wp:anchor distT="0" distB="0" distL="114300" distR="114300" simplePos="0" relativeHeight="251671552" behindDoc="0" locked="0" layoutInCell="1" allowOverlap="1" wp14:anchorId="0451C986" wp14:editId="75CA2220">
              <wp:simplePos x="0" y="0"/>
              <wp:positionH relativeFrom="column">
                <wp:posOffset>-131908</wp:posOffset>
              </wp:positionH>
              <wp:positionV relativeFrom="paragraph">
                <wp:posOffset>-243823</wp:posOffset>
              </wp:positionV>
              <wp:extent cx="2901366" cy="308610"/>
              <wp:effectExtent l="0" t="0" r="13335"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66"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0F13F3B6" w:rsidR="00F43BAD" w:rsidRPr="00734FFA" w:rsidRDefault="00C36F4B" w:rsidP="002F3981">
                          <w:pPr>
                            <w:jc w:val="center"/>
                            <w:rPr>
                              <w:rFonts w:ascii="Arial" w:hAnsi="Arial" w:cs="Arial"/>
                              <w:b/>
                              <w:color w:val="0F243E" w:themeColor="text2" w:themeShade="80"/>
                              <w:sz w:val="16"/>
                              <w:szCs w:val="16"/>
                            </w:rPr>
                          </w:pPr>
                          <w:r w:rsidRPr="00C36F4B">
                            <w:rPr>
                              <w:rFonts w:ascii="Arial" w:hAnsi="Arial" w:cs="Arial"/>
                              <w:b/>
                              <w:color w:val="0F243E" w:themeColor="text2" w:themeShade="80"/>
                              <w:sz w:val="16"/>
                              <w:szCs w:val="16"/>
                            </w:rPr>
                            <w:t>10.18606/2318-1419/amazonia.sci.health.v14n1p169-181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8" style="position:absolute;left:0;text-align:left;margin-left:-10.4pt;margin-top:-19.2pt;width:228.4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" adj="-11796480,,5400" path="m,l3297381,v28421,,51461,23040,51461,51461l3348842,308758,,308758,,xe" fillcolor="#c6d9f1 [671]" strokecolor="#0f243e [1615]" strokeweight="2pt">
              <v:stroke joinstyle="miter"/>
              <v:formulas/>
              <v:path arrowok="t" o:connecttype="custom" o:connectlocs="0,0;2856781,0;2901366,51436;2901366,308610;0,308610;0,0" o:connectangles="0,0,0,0,0,0" textboxrect="0,0,3348842,308758"/>
              <v:textbox>
                <w:txbxContent>
                  <w:p w14:paraId="6AB4C17A" w14:textId="0F13F3B6" w:rsidR="00F43BAD" w:rsidRPr="00734FFA" w:rsidRDefault="00C36F4B" w:rsidP="002F3981">
                    <w:pPr>
                      <w:jc w:val="center"/>
                      <w:rPr>
                        <w:rFonts w:ascii="Arial" w:hAnsi="Arial" w:cs="Arial"/>
                        <w:b/>
                        <w:color w:val="0F243E" w:themeColor="text2" w:themeShade="80"/>
                        <w:sz w:val="16"/>
                        <w:szCs w:val="16"/>
                      </w:rPr>
                    </w:pPr>
                    <w:r w:rsidRPr="00C36F4B">
                      <w:rPr>
                        <w:rFonts w:ascii="Arial" w:hAnsi="Arial" w:cs="Arial"/>
                        <w:b/>
                        <w:color w:val="0F243E" w:themeColor="text2" w:themeShade="80"/>
                        <w:sz w:val="16"/>
                        <w:szCs w:val="16"/>
                      </w:rPr>
                      <w:t>10.18606/2318-1419/amazonia.sci.health.v14n1p169-181</w:t>
                    </w:r>
                  </w:p>
                </w:txbxContent>
              </v:textbox>
            </v:shape>
          </w:pict>
        </mc:Fallback>
      </mc:AlternateContent>
    </w:r>
    <w:r w:rsidRPr="00C36F4B">
      <w:rPr>
        <w:color w:val="4F81BD" w:themeColor="accent1"/>
      </w:rPr>
      <w:t>10.18606/2318-1419/amazonia.sci.health.v14n1p169-181</w:t>
    </w:r>
    <w:r w:rsidRPr="00C36F4B">
      <w:rPr>
        <w:color w:val="4F81BD" w:themeColor="accent1"/>
      </w:rPr>
      <w:t xml:space="preserve"> </w:t>
    </w:r>
    <w:r w:rsidR="00F43BAD">
      <w:rPr>
        <w:noProof/>
      </w:rPr>
      <mc:AlternateContent>
        <mc:Choice Requires="wps">
          <w:drawing>
            <wp:anchor distT="0" distB="0" distL="114300" distR="114300" simplePos="0" relativeHeight="251670528" behindDoc="0" locked="0" layoutInCell="1" allowOverlap="1" wp14:anchorId="41A57A4E" wp14:editId="62D766EE">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F43BAD" w:rsidRPr="005E65C4" w:rsidRDefault="00F43BAD"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F43BAD" w:rsidRPr="00677FEC" w:rsidRDefault="00F43BAD"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F43BAD" w:rsidRPr="009A4DEE" w:rsidRDefault="00F43BAD"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9"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" fillcolor="#4f81bd [3204]" stroked="f" strokeweight="2pt">
              <v:textbox>
                <w:txbxContent>
                  <w:p w14:paraId="2F50BF34" w14:textId="77777777" w:rsidR="00F43BAD" w:rsidRPr="005E65C4" w:rsidRDefault="00F43BAD"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F43BAD" w:rsidRPr="00677FEC" w:rsidRDefault="00F43BAD"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F43BAD" w:rsidRPr="009A4DEE" w:rsidRDefault="00F43BAD" w:rsidP="002F3981">
                    <w:pPr>
                      <w:jc w:val="right"/>
                      <w:rPr>
                        <w:rFonts w:ascii="Arial" w:hAnsi="Arial" w:cs="Arial"/>
                        <w:b/>
                      </w:rPr>
                    </w:pPr>
                  </w:p>
                </w:txbxContent>
              </v:textbox>
            </v:roundrect>
          </w:pict>
        </mc:Fallback>
      </mc:AlternateContent>
    </w:r>
  </w:p>
  <w:p w14:paraId="1168918B" w14:textId="62796B4E" w:rsidR="00F43BAD" w:rsidRPr="00C33545" w:rsidRDefault="00F43BAD"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56"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570"/>
      <w:gridCol w:w="5386"/>
    </w:tblGrid>
    <w:tr w:rsidR="00F43BAD" w:rsidRPr="00677FEC" w14:paraId="4AC5FD87" w14:textId="77777777" w:rsidTr="00C36F4B">
      <w:trPr>
        <w:trHeight w:val="716"/>
      </w:trPr>
      <w:tc>
        <w:tcPr>
          <w:tcW w:w="4570" w:type="dxa"/>
        </w:tcPr>
        <w:p w14:paraId="7EF158F5" w14:textId="6DA52A46" w:rsidR="00F43BAD" w:rsidRPr="00651574" w:rsidRDefault="00F43BAD" w:rsidP="00C36F4B">
          <w:pPr>
            <w:pStyle w:val="Cabealho"/>
            <w:ind w:left="-76"/>
            <w:jc w:val="both"/>
            <w:rPr>
              <w:rFonts w:ascii="Arial" w:hAnsi="Arial" w:cs="Arial"/>
              <w:sz w:val="16"/>
              <w:szCs w:val="16"/>
            </w:rPr>
          </w:pPr>
          <w:r w:rsidRPr="00651574">
            <w:rPr>
              <w:rFonts w:ascii="Arial" w:hAnsi="Arial" w:cs="Arial"/>
              <w:sz w:val="16"/>
              <w:szCs w:val="16"/>
            </w:rPr>
            <w:t>DOI</w:t>
          </w:r>
          <w:r w:rsidR="00C36F4B">
            <w:rPr>
              <w:rFonts w:ascii="Arial" w:hAnsi="Arial" w:cs="Arial"/>
              <w:sz w:val="16"/>
              <w:szCs w:val="16"/>
            </w:rPr>
            <w:t xml:space="preserve"> </w:t>
          </w:r>
          <w:r w:rsidR="00C36F4B" w:rsidRPr="00C36F4B">
            <w:rPr>
              <w:rFonts w:ascii="Arial" w:hAnsi="Arial" w:cs="Arial"/>
              <w:sz w:val="16"/>
              <w:szCs w:val="16"/>
            </w:rPr>
            <w:t>10.18606/2318-1419/amazonia.sci.health.v14n1p169-181</w:t>
          </w:r>
        </w:p>
        <w:p w14:paraId="0BEEB98D" w14:textId="77777777" w:rsidR="00F43BAD" w:rsidRPr="00C36F4B" w:rsidRDefault="00F43BAD" w:rsidP="00C36F4B">
          <w:pPr>
            <w:pStyle w:val="Cabealho"/>
            <w:ind w:left="-76"/>
            <w:rPr>
              <w:rFonts w:ascii="Arial" w:hAnsi="Arial" w:cs="Arial"/>
              <w:b/>
              <w:bCs/>
              <w:sz w:val="16"/>
              <w:szCs w:val="16"/>
            </w:rPr>
          </w:pPr>
          <w:r w:rsidRPr="00C36F4B">
            <w:rPr>
              <w:rFonts w:ascii="Arial" w:hAnsi="Arial" w:cs="Arial"/>
              <w:b/>
              <w:bCs/>
              <w:sz w:val="16"/>
              <w:szCs w:val="16"/>
            </w:rPr>
            <w:t xml:space="preserve">Revista Amazônia Science &amp; Health </w:t>
          </w:r>
        </w:p>
        <w:p w14:paraId="60510427" w14:textId="774F597A" w:rsidR="00F43BAD" w:rsidRPr="00651574" w:rsidRDefault="00C36F4B" w:rsidP="00C36F4B">
          <w:pPr>
            <w:pStyle w:val="Cabealho"/>
            <w:ind w:left="-76" w:right="-108"/>
            <w:rPr>
              <w:rFonts w:ascii="Arial" w:hAnsi="Arial" w:cs="Arial"/>
              <w:sz w:val="16"/>
              <w:szCs w:val="16"/>
            </w:rPr>
          </w:pPr>
          <w:r>
            <w:rPr>
              <w:rFonts w:ascii="Arial" w:hAnsi="Arial" w:cs="Arial"/>
              <w:sz w:val="16"/>
              <w:szCs w:val="16"/>
            </w:rPr>
            <w:t>2026 – Edição 50 – Volume 14 – Número 1</w:t>
          </w:r>
        </w:p>
      </w:tc>
      <w:tc>
        <w:tcPr>
          <w:tcW w:w="5386" w:type="dxa"/>
        </w:tcPr>
        <w:p w14:paraId="1F193346" w14:textId="46C756AC" w:rsidR="00F43BAD" w:rsidRDefault="000C38A1" w:rsidP="00D71916">
          <w:pPr>
            <w:rPr>
              <w:rFonts w:ascii="Arial" w:hAnsi="Arial" w:cs="Arial"/>
              <w:b/>
              <w:sz w:val="16"/>
              <w:szCs w:val="16"/>
            </w:rPr>
          </w:pPr>
          <w:r>
            <w:rPr>
              <w:rFonts w:ascii="Arial" w:hAnsi="Arial" w:cs="Arial"/>
              <w:b/>
              <w:sz w:val="16"/>
              <w:szCs w:val="16"/>
            </w:rPr>
            <w:t>BEZERRA, DCB; GERVÁSIO, FM; SAKAMOTO, AM; DOS PASSOS, AR; SAMPAIO, AS; ABREU, TM; SEIXAS, GC; ALVES, RC</w:t>
          </w:r>
          <w:r w:rsidR="00F43BAD" w:rsidRPr="00677FEC">
            <w:rPr>
              <w:rFonts w:ascii="Arial" w:hAnsi="Arial" w:cs="Arial"/>
              <w:b/>
              <w:sz w:val="16"/>
              <w:szCs w:val="16"/>
            </w:rPr>
            <w:t>.</w:t>
          </w:r>
        </w:p>
        <w:p w14:paraId="75D01517" w14:textId="683767CE" w:rsidR="00F43BAD" w:rsidRPr="00677FEC" w:rsidRDefault="00037C63" w:rsidP="00037C63">
          <w:pPr>
            <w:rPr>
              <w:rFonts w:ascii="Arial" w:hAnsi="Arial" w:cs="Arial"/>
              <w:b/>
            </w:rPr>
          </w:pPr>
          <w:r w:rsidRPr="00037C63">
            <w:rPr>
              <w:rFonts w:ascii="Arial" w:hAnsi="Arial" w:cs="Arial"/>
              <w:sz w:val="16"/>
              <w:szCs w:val="16"/>
            </w:rPr>
            <w:t>Mortalidade por distúrbios endócrinos, metabólicos e nutricionais nos últimos 15 anos: uma análise epidemiológica</w:t>
          </w:r>
          <w:r w:rsidR="00F43BAD">
            <w:rPr>
              <w:rFonts w:ascii="Arial" w:hAnsi="Arial" w:cs="Arial"/>
              <w:sz w:val="16"/>
              <w:szCs w:val="16"/>
            </w:rPr>
            <w:t>.</w:t>
          </w:r>
          <w:r w:rsidR="00F43BAD" w:rsidRPr="004C0033">
            <w:rPr>
              <w:rFonts w:ascii="Segoe UI" w:hAnsi="Segoe UI" w:cs="Segoe UI"/>
              <w:sz w:val="12"/>
              <w:szCs w:val="20"/>
              <w:highlight w:val="yellow"/>
              <w:shd w:val="clear" w:color="auto" w:fill="FFFFFF"/>
            </w:rPr>
            <w:t xml:space="preserve"> </w:t>
          </w:r>
          <w:r w:rsidR="00F43BAD">
            <w:rPr>
              <w:rFonts w:ascii="Segoe UI" w:hAnsi="Segoe UI" w:cs="Segoe UI"/>
              <w:sz w:val="12"/>
              <w:szCs w:val="20"/>
              <w:highlight w:val="yellow"/>
              <w:shd w:val="clear" w:color="auto" w:fill="FFFFFF"/>
            </w:rPr>
            <w:t xml:space="preserve"> </w:t>
          </w:r>
        </w:p>
      </w:tc>
    </w:tr>
  </w:tbl>
  <w:p w14:paraId="289C0CB8" w14:textId="77777777" w:rsidR="00F43BAD" w:rsidRPr="00BD0623" w:rsidRDefault="00F43BAD"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0CE7CC7"/>
    <w:multiLevelType w:val="hybridMultilevel"/>
    <w:tmpl w:val="E932A4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ED5343E"/>
    <w:multiLevelType w:val="hybridMultilevel"/>
    <w:tmpl w:val="CAD6FA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6"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2A36F80"/>
    <w:multiLevelType w:val="hybridMultilevel"/>
    <w:tmpl w:val="1AC42F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3" w15:restartNumberingAfterBreak="0">
    <w:nsid w:val="78053AF4"/>
    <w:multiLevelType w:val="hybridMultilevel"/>
    <w:tmpl w:val="61FC75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24295252">
    <w:abstractNumId w:val="19"/>
  </w:num>
  <w:num w:numId="2" w16cid:durableId="578179166">
    <w:abstractNumId w:val="15"/>
  </w:num>
  <w:num w:numId="3" w16cid:durableId="1054693108">
    <w:abstractNumId w:val="18"/>
  </w:num>
  <w:num w:numId="4" w16cid:durableId="98524898">
    <w:abstractNumId w:val="20"/>
  </w:num>
  <w:num w:numId="5" w16cid:durableId="1269193467">
    <w:abstractNumId w:val="10"/>
  </w:num>
  <w:num w:numId="6" w16cid:durableId="542450098">
    <w:abstractNumId w:val="9"/>
  </w:num>
  <w:num w:numId="7" w16cid:durableId="1937512995">
    <w:abstractNumId w:val="12"/>
  </w:num>
  <w:num w:numId="8" w16cid:durableId="1072436173">
    <w:abstractNumId w:val="22"/>
  </w:num>
  <w:num w:numId="9" w16cid:durableId="989095185">
    <w:abstractNumId w:val="8"/>
  </w:num>
  <w:num w:numId="10" w16cid:durableId="1298338122">
    <w:abstractNumId w:val="14"/>
  </w:num>
  <w:num w:numId="11" w16cid:durableId="1985548683">
    <w:abstractNumId w:val="13"/>
  </w:num>
  <w:num w:numId="12" w16cid:durableId="1712458202">
    <w:abstractNumId w:val="17"/>
  </w:num>
  <w:num w:numId="13" w16cid:durableId="1685588460">
    <w:abstractNumId w:val="16"/>
  </w:num>
  <w:num w:numId="14" w16cid:durableId="231281542">
    <w:abstractNumId w:val="0"/>
  </w:num>
  <w:num w:numId="15" w16cid:durableId="699815061">
    <w:abstractNumId w:val="1"/>
  </w:num>
  <w:num w:numId="16" w16cid:durableId="843132239">
    <w:abstractNumId w:val="2"/>
  </w:num>
  <w:num w:numId="17" w16cid:durableId="2139033908">
    <w:abstractNumId w:val="3"/>
  </w:num>
  <w:num w:numId="18" w16cid:durableId="1898124819">
    <w:abstractNumId w:val="4"/>
  </w:num>
  <w:num w:numId="19" w16cid:durableId="2129548246">
    <w:abstractNumId w:val="5"/>
  </w:num>
  <w:num w:numId="20" w16cid:durableId="348021949">
    <w:abstractNumId w:val="6"/>
  </w:num>
  <w:num w:numId="21" w16cid:durableId="1552964833">
    <w:abstractNumId w:val="7"/>
  </w:num>
  <w:num w:numId="22" w16cid:durableId="319191809">
    <w:abstractNumId w:val="11"/>
  </w:num>
  <w:num w:numId="23" w16cid:durableId="1101295853">
    <w:abstractNumId w:val="21"/>
  </w:num>
  <w:num w:numId="24" w16cid:durableId="190152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13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C63"/>
    <w:rsid w:val="00037E8E"/>
    <w:rsid w:val="00040B9B"/>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5887"/>
    <w:rsid w:val="000A698D"/>
    <w:rsid w:val="000A7CFB"/>
    <w:rsid w:val="000B4934"/>
    <w:rsid w:val="000B5840"/>
    <w:rsid w:val="000B5DDB"/>
    <w:rsid w:val="000B7F8B"/>
    <w:rsid w:val="000C16A9"/>
    <w:rsid w:val="000C22EE"/>
    <w:rsid w:val="000C2573"/>
    <w:rsid w:val="000C38A1"/>
    <w:rsid w:val="000C38F1"/>
    <w:rsid w:val="000D0087"/>
    <w:rsid w:val="000D01F2"/>
    <w:rsid w:val="000D238F"/>
    <w:rsid w:val="000D2DFC"/>
    <w:rsid w:val="000E1614"/>
    <w:rsid w:val="000E1ACB"/>
    <w:rsid w:val="000E240A"/>
    <w:rsid w:val="000E6604"/>
    <w:rsid w:val="000E687C"/>
    <w:rsid w:val="000F424B"/>
    <w:rsid w:val="000F5985"/>
    <w:rsid w:val="00101010"/>
    <w:rsid w:val="00101B73"/>
    <w:rsid w:val="00102050"/>
    <w:rsid w:val="0010429F"/>
    <w:rsid w:val="0010479C"/>
    <w:rsid w:val="00104863"/>
    <w:rsid w:val="00105E8A"/>
    <w:rsid w:val="00106D02"/>
    <w:rsid w:val="00111874"/>
    <w:rsid w:val="00112543"/>
    <w:rsid w:val="0011730B"/>
    <w:rsid w:val="00117D98"/>
    <w:rsid w:val="00117E5F"/>
    <w:rsid w:val="001209B5"/>
    <w:rsid w:val="001216B8"/>
    <w:rsid w:val="00124B3E"/>
    <w:rsid w:val="00125CDE"/>
    <w:rsid w:val="0012617E"/>
    <w:rsid w:val="001267D3"/>
    <w:rsid w:val="001305C1"/>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2CD6"/>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0A39"/>
    <w:rsid w:val="00191012"/>
    <w:rsid w:val="001919D1"/>
    <w:rsid w:val="0019325A"/>
    <w:rsid w:val="001939B3"/>
    <w:rsid w:val="00193A59"/>
    <w:rsid w:val="001940D1"/>
    <w:rsid w:val="00194880"/>
    <w:rsid w:val="00195AE1"/>
    <w:rsid w:val="00195FFC"/>
    <w:rsid w:val="00196520"/>
    <w:rsid w:val="00197C7C"/>
    <w:rsid w:val="00197E2F"/>
    <w:rsid w:val="001A1B94"/>
    <w:rsid w:val="001A1C79"/>
    <w:rsid w:val="001A33B0"/>
    <w:rsid w:val="001A3983"/>
    <w:rsid w:val="001A3ECF"/>
    <w:rsid w:val="001A42F3"/>
    <w:rsid w:val="001A5277"/>
    <w:rsid w:val="001B1EA6"/>
    <w:rsid w:val="001B3062"/>
    <w:rsid w:val="001B5345"/>
    <w:rsid w:val="001B6735"/>
    <w:rsid w:val="001B7444"/>
    <w:rsid w:val="001C09CD"/>
    <w:rsid w:val="001C0B5D"/>
    <w:rsid w:val="001C1984"/>
    <w:rsid w:val="001C2658"/>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024B"/>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50572"/>
    <w:rsid w:val="002508D6"/>
    <w:rsid w:val="00252573"/>
    <w:rsid w:val="002526F4"/>
    <w:rsid w:val="0025340F"/>
    <w:rsid w:val="00256159"/>
    <w:rsid w:val="00260C69"/>
    <w:rsid w:val="00260CAF"/>
    <w:rsid w:val="00262F94"/>
    <w:rsid w:val="00264D20"/>
    <w:rsid w:val="00264E82"/>
    <w:rsid w:val="0026589E"/>
    <w:rsid w:val="0026737C"/>
    <w:rsid w:val="00267D2A"/>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2713"/>
    <w:rsid w:val="002C3221"/>
    <w:rsid w:val="002C323D"/>
    <w:rsid w:val="002C3303"/>
    <w:rsid w:val="002C3E92"/>
    <w:rsid w:val="002C550B"/>
    <w:rsid w:val="002C55C6"/>
    <w:rsid w:val="002C6E98"/>
    <w:rsid w:val="002D08C8"/>
    <w:rsid w:val="002D14CA"/>
    <w:rsid w:val="002D1D77"/>
    <w:rsid w:val="002D32D7"/>
    <w:rsid w:val="002D67AB"/>
    <w:rsid w:val="002D70F4"/>
    <w:rsid w:val="002E1165"/>
    <w:rsid w:val="002E36DB"/>
    <w:rsid w:val="002E4C31"/>
    <w:rsid w:val="002E61E6"/>
    <w:rsid w:val="002F00AA"/>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5BD"/>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91768"/>
    <w:rsid w:val="00395233"/>
    <w:rsid w:val="00395390"/>
    <w:rsid w:val="003A178E"/>
    <w:rsid w:val="003A182C"/>
    <w:rsid w:val="003A23B8"/>
    <w:rsid w:val="003A6BDF"/>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310A"/>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297"/>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88F"/>
    <w:rsid w:val="00492D09"/>
    <w:rsid w:val="0049383A"/>
    <w:rsid w:val="0049384E"/>
    <w:rsid w:val="00495376"/>
    <w:rsid w:val="00497219"/>
    <w:rsid w:val="00497EED"/>
    <w:rsid w:val="004A0384"/>
    <w:rsid w:val="004A2F25"/>
    <w:rsid w:val="004A486B"/>
    <w:rsid w:val="004A4FC1"/>
    <w:rsid w:val="004A5F5E"/>
    <w:rsid w:val="004A639B"/>
    <w:rsid w:val="004B19F8"/>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086A"/>
    <w:rsid w:val="004D142F"/>
    <w:rsid w:val="004D18CA"/>
    <w:rsid w:val="004D23DA"/>
    <w:rsid w:val="004D272B"/>
    <w:rsid w:val="004D4077"/>
    <w:rsid w:val="004D4420"/>
    <w:rsid w:val="004D5A01"/>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08"/>
    <w:rsid w:val="00573366"/>
    <w:rsid w:val="00576096"/>
    <w:rsid w:val="005773C5"/>
    <w:rsid w:val="00582373"/>
    <w:rsid w:val="0058373C"/>
    <w:rsid w:val="005843BB"/>
    <w:rsid w:val="0058465B"/>
    <w:rsid w:val="00585569"/>
    <w:rsid w:val="00586F17"/>
    <w:rsid w:val="00587EF6"/>
    <w:rsid w:val="005963C5"/>
    <w:rsid w:val="00596954"/>
    <w:rsid w:val="005A1116"/>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3A8C"/>
    <w:rsid w:val="005C442A"/>
    <w:rsid w:val="005C6483"/>
    <w:rsid w:val="005C7111"/>
    <w:rsid w:val="005C7412"/>
    <w:rsid w:val="005D60F0"/>
    <w:rsid w:val="005D626D"/>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6BBC"/>
    <w:rsid w:val="00610888"/>
    <w:rsid w:val="0061319C"/>
    <w:rsid w:val="00614DBC"/>
    <w:rsid w:val="006152B9"/>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5C4E"/>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A5E5B"/>
    <w:rsid w:val="006B1BC3"/>
    <w:rsid w:val="006B36FC"/>
    <w:rsid w:val="006B4E7C"/>
    <w:rsid w:val="006B73F0"/>
    <w:rsid w:val="006B75D0"/>
    <w:rsid w:val="006B7875"/>
    <w:rsid w:val="006B7AF9"/>
    <w:rsid w:val="006C0337"/>
    <w:rsid w:val="006C233E"/>
    <w:rsid w:val="006C252C"/>
    <w:rsid w:val="006C3218"/>
    <w:rsid w:val="006C36D8"/>
    <w:rsid w:val="006C386B"/>
    <w:rsid w:val="006C4885"/>
    <w:rsid w:val="006C5626"/>
    <w:rsid w:val="006C591F"/>
    <w:rsid w:val="006C5ABB"/>
    <w:rsid w:val="006D1478"/>
    <w:rsid w:val="006D2430"/>
    <w:rsid w:val="006D486C"/>
    <w:rsid w:val="006D62C2"/>
    <w:rsid w:val="006D6E2A"/>
    <w:rsid w:val="006E2609"/>
    <w:rsid w:val="006E398C"/>
    <w:rsid w:val="006F2572"/>
    <w:rsid w:val="006F28BE"/>
    <w:rsid w:val="006F2C4C"/>
    <w:rsid w:val="006F3E68"/>
    <w:rsid w:val="006F47E7"/>
    <w:rsid w:val="006F4D14"/>
    <w:rsid w:val="006F57C3"/>
    <w:rsid w:val="006F639B"/>
    <w:rsid w:val="00700197"/>
    <w:rsid w:val="00701F41"/>
    <w:rsid w:val="00704896"/>
    <w:rsid w:val="00704FBA"/>
    <w:rsid w:val="00705996"/>
    <w:rsid w:val="007065FC"/>
    <w:rsid w:val="00706C40"/>
    <w:rsid w:val="00707202"/>
    <w:rsid w:val="007129F9"/>
    <w:rsid w:val="007131F9"/>
    <w:rsid w:val="0071412C"/>
    <w:rsid w:val="00714A1B"/>
    <w:rsid w:val="007200B2"/>
    <w:rsid w:val="00721093"/>
    <w:rsid w:val="0072622F"/>
    <w:rsid w:val="00727B1D"/>
    <w:rsid w:val="00727F31"/>
    <w:rsid w:val="00732AA8"/>
    <w:rsid w:val="007330B9"/>
    <w:rsid w:val="007332EF"/>
    <w:rsid w:val="00734797"/>
    <w:rsid w:val="00734A08"/>
    <w:rsid w:val="00734FFA"/>
    <w:rsid w:val="007358C6"/>
    <w:rsid w:val="00736CF7"/>
    <w:rsid w:val="00740FF9"/>
    <w:rsid w:val="007413CB"/>
    <w:rsid w:val="00743BC7"/>
    <w:rsid w:val="00744C08"/>
    <w:rsid w:val="0074799D"/>
    <w:rsid w:val="007517DE"/>
    <w:rsid w:val="00754835"/>
    <w:rsid w:val="00760473"/>
    <w:rsid w:val="00763D1A"/>
    <w:rsid w:val="00765B8D"/>
    <w:rsid w:val="00765F8A"/>
    <w:rsid w:val="007708C5"/>
    <w:rsid w:val="00773A82"/>
    <w:rsid w:val="00774E9D"/>
    <w:rsid w:val="00774FA9"/>
    <w:rsid w:val="0077504F"/>
    <w:rsid w:val="00776270"/>
    <w:rsid w:val="00782658"/>
    <w:rsid w:val="00783A03"/>
    <w:rsid w:val="00784B8D"/>
    <w:rsid w:val="00784C82"/>
    <w:rsid w:val="00785FC9"/>
    <w:rsid w:val="00787CF0"/>
    <w:rsid w:val="0079166F"/>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098B"/>
    <w:rsid w:val="007C186A"/>
    <w:rsid w:val="007C2018"/>
    <w:rsid w:val="007D0CBA"/>
    <w:rsid w:val="007D1DEE"/>
    <w:rsid w:val="007D6DCA"/>
    <w:rsid w:val="007E0AF9"/>
    <w:rsid w:val="007E1703"/>
    <w:rsid w:val="007E3819"/>
    <w:rsid w:val="007E3DF7"/>
    <w:rsid w:val="007F370E"/>
    <w:rsid w:val="007F3A53"/>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1CFF"/>
    <w:rsid w:val="00853110"/>
    <w:rsid w:val="0085688B"/>
    <w:rsid w:val="0086206B"/>
    <w:rsid w:val="0086723A"/>
    <w:rsid w:val="00870CFF"/>
    <w:rsid w:val="00870EB0"/>
    <w:rsid w:val="00872C95"/>
    <w:rsid w:val="00872CDC"/>
    <w:rsid w:val="00874C7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404E"/>
    <w:rsid w:val="008E559F"/>
    <w:rsid w:val="008F0A07"/>
    <w:rsid w:val="008F1A75"/>
    <w:rsid w:val="008F2302"/>
    <w:rsid w:val="008F3645"/>
    <w:rsid w:val="008F4A5A"/>
    <w:rsid w:val="008F5F4C"/>
    <w:rsid w:val="00901565"/>
    <w:rsid w:val="0091125E"/>
    <w:rsid w:val="009116D4"/>
    <w:rsid w:val="00913BCE"/>
    <w:rsid w:val="009151FE"/>
    <w:rsid w:val="00916C36"/>
    <w:rsid w:val="0091729F"/>
    <w:rsid w:val="00920471"/>
    <w:rsid w:val="00920A74"/>
    <w:rsid w:val="00920B83"/>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0C7"/>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2F93"/>
    <w:rsid w:val="0099673F"/>
    <w:rsid w:val="00996C1B"/>
    <w:rsid w:val="0099709B"/>
    <w:rsid w:val="00997E67"/>
    <w:rsid w:val="009A09B2"/>
    <w:rsid w:val="009A4DEE"/>
    <w:rsid w:val="009A5739"/>
    <w:rsid w:val="009A6868"/>
    <w:rsid w:val="009A7490"/>
    <w:rsid w:val="009B125A"/>
    <w:rsid w:val="009B3BC4"/>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E7765"/>
    <w:rsid w:val="009F3197"/>
    <w:rsid w:val="009F33E1"/>
    <w:rsid w:val="009F47E6"/>
    <w:rsid w:val="009F740B"/>
    <w:rsid w:val="009F7AF7"/>
    <w:rsid w:val="009F7DBF"/>
    <w:rsid w:val="00A01534"/>
    <w:rsid w:val="00A029FC"/>
    <w:rsid w:val="00A0347C"/>
    <w:rsid w:val="00A04401"/>
    <w:rsid w:val="00A04AF2"/>
    <w:rsid w:val="00A11506"/>
    <w:rsid w:val="00A11EC1"/>
    <w:rsid w:val="00A156B4"/>
    <w:rsid w:val="00A200BA"/>
    <w:rsid w:val="00A22507"/>
    <w:rsid w:val="00A249F3"/>
    <w:rsid w:val="00A30B98"/>
    <w:rsid w:val="00A32425"/>
    <w:rsid w:val="00A358D3"/>
    <w:rsid w:val="00A36039"/>
    <w:rsid w:val="00A3696C"/>
    <w:rsid w:val="00A400CE"/>
    <w:rsid w:val="00A413E5"/>
    <w:rsid w:val="00A421BA"/>
    <w:rsid w:val="00A42CC7"/>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5067"/>
    <w:rsid w:val="00A6669B"/>
    <w:rsid w:val="00A67DF5"/>
    <w:rsid w:val="00A71560"/>
    <w:rsid w:val="00A71B37"/>
    <w:rsid w:val="00A72A65"/>
    <w:rsid w:val="00A7493D"/>
    <w:rsid w:val="00A76631"/>
    <w:rsid w:val="00A804EE"/>
    <w:rsid w:val="00A80705"/>
    <w:rsid w:val="00A80CA7"/>
    <w:rsid w:val="00A82719"/>
    <w:rsid w:val="00A838FA"/>
    <w:rsid w:val="00A84CDD"/>
    <w:rsid w:val="00A86078"/>
    <w:rsid w:val="00A86114"/>
    <w:rsid w:val="00A86D7C"/>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B5959"/>
    <w:rsid w:val="00BC2BE5"/>
    <w:rsid w:val="00BC51E1"/>
    <w:rsid w:val="00BC5D68"/>
    <w:rsid w:val="00BD0623"/>
    <w:rsid w:val="00BD2894"/>
    <w:rsid w:val="00BD29F3"/>
    <w:rsid w:val="00BD3538"/>
    <w:rsid w:val="00BE03BB"/>
    <w:rsid w:val="00BE1400"/>
    <w:rsid w:val="00BE1FC8"/>
    <w:rsid w:val="00BE1FFE"/>
    <w:rsid w:val="00BE2450"/>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6F4B"/>
    <w:rsid w:val="00C37451"/>
    <w:rsid w:val="00C4446A"/>
    <w:rsid w:val="00C44C6E"/>
    <w:rsid w:val="00C45710"/>
    <w:rsid w:val="00C46047"/>
    <w:rsid w:val="00C50825"/>
    <w:rsid w:val="00C520C9"/>
    <w:rsid w:val="00C53924"/>
    <w:rsid w:val="00C53BD6"/>
    <w:rsid w:val="00C53EEB"/>
    <w:rsid w:val="00C606D6"/>
    <w:rsid w:val="00C609C4"/>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29EF"/>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4EC4"/>
    <w:rsid w:val="00CB65B3"/>
    <w:rsid w:val="00CB6712"/>
    <w:rsid w:val="00CB680E"/>
    <w:rsid w:val="00CB7DDF"/>
    <w:rsid w:val="00CC1022"/>
    <w:rsid w:val="00CC2D5A"/>
    <w:rsid w:val="00CC2FBE"/>
    <w:rsid w:val="00CC350C"/>
    <w:rsid w:val="00CC6F70"/>
    <w:rsid w:val="00CD23E6"/>
    <w:rsid w:val="00CD292D"/>
    <w:rsid w:val="00CD4A74"/>
    <w:rsid w:val="00CD5314"/>
    <w:rsid w:val="00CD55FB"/>
    <w:rsid w:val="00CD5E0C"/>
    <w:rsid w:val="00CE0A06"/>
    <w:rsid w:val="00CE19FA"/>
    <w:rsid w:val="00CE5A92"/>
    <w:rsid w:val="00CF0661"/>
    <w:rsid w:val="00CF07D0"/>
    <w:rsid w:val="00CF0933"/>
    <w:rsid w:val="00CF3015"/>
    <w:rsid w:val="00CF75FD"/>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36D3"/>
    <w:rsid w:val="00D245FC"/>
    <w:rsid w:val="00D313F3"/>
    <w:rsid w:val="00D3240A"/>
    <w:rsid w:val="00D32918"/>
    <w:rsid w:val="00D35B6C"/>
    <w:rsid w:val="00D368F1"/>
    <w:rsid w:val="00D36BF9"/>
    <w:rsid w:val="00D40156"/>
    <w:rsid w:val="00D40465"/>
    <w:rsid w:val="00D404A5"/>
    <w:rsid w:val="00D4159C"/>
    <w:rsid w:val="00D43331"/>
    <w:rsid w:val="00D47093"/>
    <w:rsid w:val="00D50B94"/>
    <w:rsid w:val="00D52AD4"/>
    <w:rsid w:val="00D534B9"/>
    <w:rsid w:val="00D56CBB"/>
    <w:rsid w:val="00D57568"/>
    <w:rsid w:val="00D602D3"/>
    <w:rsid w:val="00D60575"/>
    <w:rsid w:val="00D61192"/>
    <w:rsid w:val="00D6148C"/>
    <w:rsid w:val="00D646EE"/>
    <w:rsid w:val="00D6702E"/>
    <w:rsid w:val="00D71916"/>
    <w:rsid w:val="00D71C5E"/>
    <w:rsid w:val="00D7386A"/>
    <w:rsid w:val="00D74ACF"/>
    <w:rsid w:val="00D7795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4C2"/>
    <w:rsid w:val="00E01763"/>
    <w:rsid w:val="00E01DC6"/>
    <w:rsid w:val="00E06955"/>
    <w:rsid w:val="00E0770B"/>
    <w:rsid w:val="00E077BC"/>
    <w:rsid w:val="00E1094C"/>
    <w:rsid w:val="00E13643"/>
    <w:rsid w:val="00E14150"/>
    <w:rsid w:val="00E162FF"/>
    <w:rsid w:val="00E16453"/>
    <w:rsid w:val="00E16CA1"/>
    <w:rsid w:val="00E205D6"/>
    <w:rsid w:val="00E2155A"/>
    <w:rsid w:val="00E22298"/>
    <w:rsid w:val="00E224AC"/>
    <w:rsid w:val="00E22E78"/>
    <w:rsid w:val="00E2329A"/>
    <w:rsid w:val="00E26DBA"/>
    <w:rsid w:val="00E30DB9"/>
    <w:rsid w:val="00E31936"/>
    <w:rsid w:val="00E31E46"/>
    <w:rsid w:val="00E326BE"/>
    <w:rsid w:val="00E33632"/>
    <w:rsid w:val="00E35960"/>
    <w:rsid w:val="00E35F3B"/>
    <w:rsid w:val="00E373B7"/>
    <w:rsid w:val="00E37C9F"/>
    <w:rsid w:val="00E40AAD"/>
    <w:rsid w:val="00E41281"/>
    <w:rsid w:val="00E41EC2"/>
    <w:rsid w:val="00E43172"/>
    <w:rsid w:val="00E44525"/>
    <w:rsid w:val="00E4628E"/>
    <w:rsid w:val="00E479C8"/>
    <w:rsid w:val="00E47A2D"/>
    <w:rsid w:val="00E50F13"/>
    <w:rsid w:val="00E51E13"/>
    <w:rsid w:val="00E523FA"/>
    <w:rsid w:val="00E53C10"/>
    <w:rsid w:val="00E55564"/>
    <w:rsid w:val="00E55D44"/>
    <w:rsid w:val="00E55EF0"/>
    <w:rsid w:val="00E57D91"/>
    <w:rsid w:val="00E62392"/>
    <w:rsid w:val="00E62C31"/>
    <w:rsid w:val="00E70050"/>
    <w:rsid w:val="00E700CD"/>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0DAF"/>
    <w:rsid w:val="00EB14D7"/>
    <w:rsid w:val="00EB1909"/>
    <w:rsid w:val="00EB2837"/>
    <w:rsid w:val="00EB2A31"/>
    <w:rsid w:val="00EB6B1A"/>
    <w:rsid w:val="00EB7017"/>
    <w:rsid w:val="00EC210D"/>
    <w:rsid w:val="00EC2AC7"/>
    <w:rsid w:val="00EC77C7"/>
    <w:rsid w:val="00ED10A1"/>
    <w:rsid w:val="00ED1C48"/>
    <w:rsid w:val="00ED2A76"/>
    <w:rsid w:val="00ED457C"/>
    <w:rsid w:val="00ED7860"/>
    <w:rsid w:val="00EE0726"/>
    <w:rsid w:val="00EE0C98"/>
    <w:rsid w:val="00EE1506"/>
    <w:rsid w:val="00EE2436"/>
    <w:rsid w:val="00EE31B8"/>
    <w:rsid w:val="00EE3C20"/>
    <w:rsid w:val="00EE5BE8"/>
    <w:rsid w:val="00EE6009"/>
    <w:rsid w:val="00EE77B4"/>
    <w:rsid w:val="00EF1353"/>
    <w:rsid w:val="00EF359E"/>
    <w:rsid w:val="00EF4394"/>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2776A"/>
    <w:rsid w:val="00F35128"/>
    <w:rsid w:val="00F3588D"/>
    <w:rsid w:val="00F36C2E"/>
    <w:rsid w:val="00F415CF"/>
    <w:rsid w:val="00F42783"/>
    <w:rsid w:val="00F43BAD"/>
    <w:rsid w:val="00F44A09"/>
    <w:rsid w:val="00F4697B"/>
    <w:rsid w:val="00F46AAD"/>
    <w:rsid w:val="00F502A0"/>
    <w:rsid w:val="00F56B35"/>
    <w:rsid w:val="00F57D0A"/>
    <w:rsid w:val="00F607BC"/>
    <w:rsid w:val="00F629EF"/>
    <w:rsid w:val="00F63964"/>
    <w:rsid w:val="00F63D5D"/>
    <w:rsid w:val="00F67B68"/>
    <w:rsid w:val="00F71D37"/>
    <w:rsid w:val="00F73FCF"/>
    <w:rsid w:val="00F743CA"/>
    <w:rsid w:val="00F77538"/>
    <w:rsid w:val="00F77DD0"/>
    <w:rsid w:val="00F81EF2"/>
    <w:rsid w:val="00F82EEF"/>
    <w:rsid w:val="00F84D99"/>
    <w:rsid w:val="00F85805"/>
    <w:rsid w:val="00F87242"/>
    <w:rsid w:val="00F87755"/>
    <w:rsid w:val="00F90E29"/>
    <w:rsid w:val="00F9115B"/>
    <w:rsid w:val="00F9290A"/>
    <w:rsid w:val="00F9504F"/>
    <w:rsid w:val="00F96C81"/>
    <w:rsid w:val="00F96E9A"/>
    <w:rsid w:val="00FA53DC"/>
    <w:rsid w:val="00FA758C"/>
    <w:rsid w:val="00FA7BBB"/>
    <w:rsid w:val="00FB1200"/>
    <w:rsid w:val="00FB2937"/>
    <w:rsid w:val="00FB75D5"/>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029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customStyle="1" w:styleId="Ttulo4Char">
    <w:name w:val="Título 4 Char"/>
    <w:basedOn w:val="Fontepargpadro"/>
    <w:link w:val="Ttulo4"/>
    <w:uiPriority w:val="9"/>
    <w:semiHidden/>
    <w:rsid w:val="00A029FC"/>
    <w:rPr>
      <w:rFonts w:asciiTheme="majorHAnsi" w:eastAsiaTheme="majorEastAsia" w:hAnsiTheme="majorHAnsi" w:cstheme="majorBidi"/>
      <w:i/>
      <w:iCs/>
      <w:color w:val="365F91" w:themeColor="accent1" w:themeShade="BF"/>
      <w:sz w:val="24"/>
      <w:szCs w:val="24"/>
      <w:lang w:eastAsia="pt-BR"/>
    </w:rPr>
  </w:style>
  <w:style w:type="character" w:styleId="MenoPendente">
    <w:name w:val="Unresolved Mention"/>
    <w:basedOn w:val="Fontepargpadro"/>
    <w:uiPriority w:val="99"/>
    <w:semiHidden/>
    <w:unhideWhenUsed/>
    <w:rsid w:val="0077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9215">
      <w:bodyDiv w:val="1"/>
      <w:marLeft w:val="0"/>
      <w:marRight w:val="0"/>
      <w:marTop w:val="0"/>
      <w:marBottom w:val="0"/>
      <w:divBdr>
        <w:top w:val="none" w:sz="0" w:space="0" w:color="auto"/>
        <w:left w:val="none" w:sz="0" w:space="0" w:color="auto"/>
        <w:bottom w:val="none" w:sz="0" w:space="0" w:color="auto"/>
        <w:right w:val="none" w:sz="0" w:space="0" w:color="auto"/>
      </w:divBdr>
    </w:div>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363868052">
      <w:bodyDiv w:val="1"/>
      <w:marLeft w:val="0"/>
      <w:marRight w:val="0"/>
      <w:marTop w:val="0"/>
      <w:marBottom w:val="0"/>
      <w:divBdr>
        <w:top w:val="none" w:sz="0" w:space="0" w:color="auto"/>
        <w:left w:val="none" w:sz="0" w:space="0" w:color="auto"/>
        <w:bottom w:val="none" w:sz="0" w:space="0" w:color="auto"/>
        <w:right w:val="none" w:sz="0" w:space="0" w:color="auto"/>
      </w:divBdr>
    </w:div>
    <w:div w:id="58237817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54295980">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317417022">
      <w:bodyDiv w:val="1"/>
      <w:marLeft w:val="0"/>
      <w:marRight w:val="0"/>
      <w:marTop w:val="0"/>
      <w:marBottom w:val="0"/>
      <w:divBdr>
        <w:top w:val="none" w:sz="0" w:space="0" w:color="auto"/>
        <w:left w:val="none" w:sz="0" w:space="0" w:color="auto"/>
        <w:bottom w:val="none" w:sz="0" w:space="0" w:color="auto"/>
        <w:right w:val="none" w:sz="0" w:space="0" w:color="auto"/>
      </w:divBdr>
    </w:div>
    <w:div w:id="1371569283">
      <w:bodyDiv w:val="1"/>
      <w:marLeft w:val="0"/>
      <w:marRight w:val="0"/>
      <w:marTop w:val="0"/>
      <w:marBottom w:val="0"/>
      <w:divBdr>
        <w:top w:val="none" w:sz="0" w:space="0" w:color="auto"/>
        <w:left w:val="none" w:sz="0" w:space="0" w:color="auto"/>
        <w:bottom w:val="none" w:sz="0" w:space="0" w:color="auto"/>
        <w:right w:val="none" w:sz="0" w:space="0" w:color="auto"/>
      </w:divBdr>
    </w:div>
    <w:div w:id="1415013226">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18436408">
      <w:bodyDiv w:val="1"/>
      <w:marLeft w:val="0"/>
      <w:marRight w:val="0"/>
      <w:marTop w:val="0"/>
      <w:marBottom w:val="0"/>
      <w:divBdr>
        <w:top w:val="none" w:sz="0" w:space="0" w:color="auto"/>
        <w:left w:val="none" w:sz="0" w:space="0" w:color="auto"/>
        <w:bottom w:val="none" w:sz="0" w:space="0" w:color="auto"/>
        <w:right w:val="none" w:sz="0" w:space="0" w:color="auto"/>
      </w:divBdr>
    </w:div>
    <w:div w:id="1926920112">
      <w:bodyDiv w:val="1"/>
      <w:marLeft w:val="0"/>
      <w:marRight w:val="0"/>
      <w:marTop w:val="0"/>
      <w:marBottom w:val="0"/>
      <w:divBdr>
        <w:top w:val="none" w:sz="0" w:space="0" w:color="auto"/>
        <w:left w:val="none" w:sz="0" w:space="0" w:color="auto"/>
        <w:bottom w:val="none" w:sz="0" w:space="0" w:color="auto"/>
        <w:right w:val="none" w:sz="0" w:space="0" w:color="auto"/>
      </w:divBdr>
      <w:divsChild>
        <w:div w:id="777215337">
          <w:marLeft w:val="0"/>
          <w:marRight w:val="0"/>
          <w:marTop w:val="0"/>
          <w:marBottom w:val="0"/>
          <w:divBdr>
            <w:top w:val="none" w:sz="0" w:space="0" w:color="auto"/>
            <w:left w:val="none" w:sz="0" w:space="0" w:color="auto"/>
            <w:bottom w:val="none" w:sz="0" w:space="0" w:color="auto"/>
            <w:right w:val="none" w:sz="0" w:space="0" w:color="auto"/>
          </w:divBdr>
        </w:div>
        <w:div w:id="714083720">
          <w:marLeft w:val="0"/>
          <w:marRight w:val="0"/>
          <w:marTop w:val="0"/>
          <w:marBottom w:val="0"/>
          <w:divBdr>
            <w:top w:val="none" w:sz="0" w:space="0" w:color="auto"/>
            <w:left w:val="none" w:sz="0" w:space="0" w:color="auto"/>
            <w:bottom w:val="none" w:sz="0" w:space="0" w:color="auto"/>
            <w:right w:val="none" w:sz="0" w:space="0" w:color="auto"/>
          </w:divBdr>
        </w:div>
        <w:div w:id="368531418">
          <w:marLeft w:val="0"/>
          <w:marRight w:val="0"/>
          <w:marTop w:val="0"/>
          <w:marBottom w:val="0"/>
          <w:divBdr>
            <w:top w:val="none" w:sz="0" w:space="0" w:color="auto"/>
            <w:left w:val="none" w:sz="0" w:space="0" w:color="auto"/>
            <w:bottom w:val="none" w:sz="0" w:space="0" w:color="auto"/>
            <w:right w:val="none" w:sz="0" w:space="0" w:color="auto"/>
          </w:divBdr>
        </w:div>
        <w:div w:id="1553728524">
          <w:marLeft w:val="0"/>
          <w:marRight w:val="0"/>
          <w:marTop w:val="0"/>
          <w:marBottom w:val="0"/>
          <w:divBdr>
            <w:top w:val="none" w:sz="0" w:space="0" w:color="auto"/>
            <w:left w:val="none" w:sz="0" w:space="0" w:color="auto"/>
            <w:bottom w:val="none" w:sz="0" w:space="0" w:color="auto"/>
            <w:right w:val="none" w:sz="0" w:space="0" w:color="auto"/>
          </w:divBdr>
        </w:div>
        <w:div w:id="1031612025">
          <w:marLeft w:val="0"/>
          <w:marRight w:val="0"/>
          <w:marTop w:val="0"/>
          <w:marBottom w:val="0"/>
          <w:divBdr>
            <w:top w:val="none" w:sz="0" w:space="0" w:color="auto"/>
            <w:left w:val="none" w:sz="0" w:space="0" w:color="auto"/>
            <w:bottom w:val="none" w:sz="0" w:space="0" w:color="auto"/>
            <w:right w:val="none" w:sz="0" w:space="0" w:color="auto"/>
          </w:divBdr>
        </w:div>
        <w:div w:id="92553530">
          <w:marLeft w:val="0"/>
          <w:marRight w:val="0"/>
          <w:marTop w:val="0"/>
          <w:marBottom w:val="0"/>
          <w:divBdr>
            <w:top w:val="none" w:sz="0" w:space="0" w:color="auto"/>
            <w:left w:val="none" w:sz="0" w:space="0" w:color="auto"/>
            <w:bottom w:val="none" w:sz="0" w:space="0" w:color="auto"/>
            <w:right w:val="none" w:sz="0" w:space="0" w:color="auto"/>
          </w:divBdr>
        </w:div>
        <w:div w:id="2016105058">
          <w:marLeft w:val="0"/>
          <w:marRight w:val="0"/>
          <w:marTop w:val="0"/>
          <w:marBottom w:val="0"/>
          <w:divBdr>
            <w:top w:val="none" w:sz="0" w:space="0" w:color="auto"/>
            <w:left w:val="none" w:sz="0" w:space="0" w:color="auto"/>
            <w:bottom w:val="none" w:sz="0" w:space="0" w:color="auto"/>
            <w:right w:val="none" w:sz="0" w:space="0" w:color="auto"/>
          </w:divBdr>
        </w:div>
        <w:div w:id="602152123">
          <w:marLeft w:val="0"/>
          <w:marRight w:val="0"/>
          <w:marTop w:val="0"/>
          <w:marBottom w:val="0"/>
          <w:divBdr>
            <w:top w:val="none" w:sz="0" w:space="0" w:color="auto"/>
            <w:left w:val="none" w:sz="0" w:space="0" w:color="auto"/>
            <w:bottom w:val="none" w:sz="0" w:space="0" w:color="auto"/>
            <w:right w:val="none" w:sz="0" w:space="0" w:color="auto"/>
          </w:divBdr>
        </w:div>
        <w:div w:id="1337925923">
          <w:marLeft w:val="0"/>
          <w:marRight w:val="0"/>
          <w:marTop w:val="0"/>
          <w:marBottom w:val="0"/>
          <w:divBdr>
            <w:top w:val="none" w:sz="0" w:space="0" w:color="auto"/>
            <w:left w:val="none" w:sz="0" w:space="0" w:color="auto"/>
            <w:bottom w:val="none" w:sz="0" w:space="0" w:color="auto"/>
            <w:right w:val="none" w:sz="0" w:space="0" w:color="auto"/>
          </w:divBdr>
        </w:div>
        <w:div w:id="1300066391">
          <w:marLeft w:val="0"/>
          <w:marRight w:val="0"/>
          <w:marTop w:val="0"/>
          <w:marBottom w:val="0"/>
          <w:divBdr>
            <w:top w:val="none" w:sz="0" w:space="0" w:color="auto"/>
            <w:left w:val="none" w:sz="0" w:space="0" w:color="auto"/>
            <w:bottom w:val="none" w:sz="0" w:space="0" w:color="auto"/>
            <w:right w:val="none" w:sz="0" w:space="0" w:color="auto"/>
          </w:divBdr>
        </w:div>
        <w:div w:id="1981690529">
          <w:marLeft w:val="0"/>
          <w:marRight w:val="0"/>
          <w:marTop w:val="0"/>
          <w:marBottom w:val="0"/>
          <w:divBdr>
            <w:top w:val="none" w:sz="0" w:space="0" w:color="auto"/>
            <w:left w:val="none" w:sz="0" w:space="0" w:color="auto"/>
            <w:bottom w:val="none" w:sz="0" w:space="0" w:color="auto"/>
            <w:right w:val="none" w:sz="0" w:space="0" w:color="auto"/>
          </w:divBdr>
        </w:div>
      </w:divsChild>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09480405">
      <w:bodyDiv w:val="1"/>
      <w:marLeft w:val="0"/>
      <w:marRight w:val="0"/>
      <w:marTop w:val="0"/>
      <w:marBottom w:val="0"/>
      <w:divBdr>
        <w:top w:val="none" w:sz="0" w:space="0" w:color="auto"/>
        <w:left w:val="none" w:sz="0" w:space="0" w:color="auto"/>
        <w:bottom w:val="none" w:sz="0" w:space="0" w:color="auto"/>
        <w:right w:val="none" w:sz="0" w:space="0" w:color="auto"/>
      </w:divBdr>
    </w:div>
    <w:div w:id="2010407622">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 w:id="2109351046">
      <w:bodyDiv w:val="1"/>
      <w:marLeft w:val="0"/>
      <w:marRight w:val="0"/>
      <w:marTop w:val="0"/>
      <w:marBottom w:val="0"/>
      <w:divBdr>
        <w:top w:val="none" w:sz="0" w:space="0" w:color="auto"/>
        <w:left w:val="none" w:sz="0" w:space="0" w:color="auto"/>
        <w:bottom w:val="none" w:sz="0" w:space="0" w:color="auto"/>
        <w:right w:val="none" w:sz="0" w:space="0" w:color="auto"/>
      </w:divBdr>
    </w:div>
    <w:div w:id="212691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dx.doi.org/10.1186/s12963-020-00209-0" TargetMode="External"/><Relationship Id="rId26" Type="http://schemas.openxmlformats.org/officeDocument/2006/relationships/hyperlink" Target="http://dx.doi.org/10.1590/1981-22562024027.240035.pt" TargetMode="External"/><Relationship Id="rId3" Type="http://schemas.openxmlformats.org/officeDocument/2006/relationships/styles" Target="styles.xml"/><Relationship Id="rId21" Type="http://schemas.openxmlformats.org/officeDocument/2006/relationships/hyperlink" Target="http://dx.doi.org/10.54751/revistafoco.v16n8-1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dx.doi.org/10.20947/s0102-3098a0244" TargetMode="External"/><Relationship Id="rId25" Type="http://schemas.openxmlformats.org/officeDocument/2006/relationships/hyperlink" Target="http://dx.doi.org/10.25110/arqsaude.v29i2.2025-118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06608871" TargetMode="External"/><Relationship Id="rId20" Type="http://schemas.openxmlformats.org/officeDocument/2006/relationships/hyperlink" Target="http://dx.doi.org/10.11606/issn.2176-7262.rmrp.2024.209224" TargetMode="External"/><Relationship Id="rId29" Type="http://schemas.openxmlformats.org/officeDocument/2006/relationships/hyperlink" Target="http://dx.doi.org/10.7189/jogh.11.04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x.doi.org/10.34119/bjhrv4n4-19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016/S2213-8587(20)30370-3" TargetMode="External"/><Relationship Id="rId23" Type="http://schemas.openxmlformats.org/officeDocument/2006/relationships/hyperlink" Target="http://dx.doi.org/10.51891/rease.v10i9.15676" TargetMode="External"/><Relationship Id="rId28" Type="http://schemas.openxmlformats.org/officeDocument/2006/relationships/hyperlink" Target="http://dx.doi.org/10.7759/cureus.51632" TargetMode="External"/><Relationship Id="rId10" Type="http://schemas.openxmlformats.org/officeDocument/2006/relationships/footer" Target="footer1.xml"/><Relationship Id="rId19" Type="http://schemas.openxmlformats.org/officeDocument/2006/relationships/hyperlink" Target="http://dx.doi.org/10.3389/fpubh.2024.127516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x.doi.org/10.9734/jammr/2023/v35i125037" TargetMode="External"/><Relationship Id="rId22" Type="http://schemas.openxmlformats.org/officeDocument/2006/relationships/hyperlink" Target="http://tabnet.datasus.gov.br/cgi/deftohtm.exe?sih/cnv/niuf.def" TargetMode="External"/><Relationship Id="rId27" Type="http://schemas.openxmlformats.org/officeDocument/2006/relationships/hyperlink" Target="http://dx.doi.org/10.36557/2674-8169.2024v6n9p3812-3822" TargetMode="External"/><Relationship Id="rId30" Type="http://schemas.openxmlformats.org/officeDocument/2006/relationships/hyperlink" Target="http://dx.doi.org/10.1136/bmjopen-2021-050739" TargetMode="External"/><Relationship Id="rId8"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899C5B-50B9-4AFF-B310-2831C38F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4096</Words>
  <Characters>25154</Characters>
  <Application>Microsoft Office Word</Application>
  <DocSecurity>0</DocSecurity>
  <Lines>465</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6</cp:revision>
  <cp:lastPrinted>2018-04-22T22:15:00Z</cp:lastPrinted>
  <dcterms:created xsi:type="dcterms:W3CDTF">2026-03-16T22:25:00Z</dcterms:created>
  <dcterms:modified xsi:type="dcterms:W3CDTF">2026-03-17T16:20:00Z</dcterms:modified>
</cp:coreProperties>
</file>