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48BF" w14:textId="1EB53C06" w:rsidR="001E5C32" w:rsidRDefault="00DA00A0" w:rsidP="001E5C32">
      <w:pPr>
        <w:jc w:val="center"/>
        <w:rPr>
          <w:rFonts w:ascii="Arial" w:hAnsi="Arial" w:cs="Arial"/>
          <w:b/>
          <w:color w:val="1F497D" w:themeColor="text2"/>
          <w:szCs w:val="28"/>
        </w:rPr>
      </w:pPr>
      <w:r>
        <w:rPr>
          <w:noProof/>
        </w:rPr>
        <w:drawing>
          <wp:anchor distT="0" distB="0" distL="114300" distR="114300" simplePos="0" relativeHeight="251663360" behindDoc="0" locked="0" layoutInCell="1" allowOverlap="1" wp14:anchorId="65938990" wp14:editId="0D772B45">
            <wp:simplePos x="0" y="0"/>
            <wp:positionH relativeFrom="margin">
              <wp:posOffset>4502785</wp:posOffset>
            </wp:positionH>
            <wp:positionV relativeFrom="paragraph">
              <wp:posOffset>-1088390</wp:posOffset>
            </wp:positionV>
            <wp:extent cx="2237105" cy="1647736"/>
            <wp:effectExtent l="0" t="0" r="0"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7105" cy="16477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C3EF46" w14:textId="71FFBDE4" w:rsidR="002D0FEF" w:rsidRDefault="002D0FEF" w:rsidP="00164E46">
      <w:pPr>
        <w:spacing w:before="240" w:after="240"/>
        <w:jc w:val="center"/>
        <w:rPr>
          <w:rFonts w:ascii="Arial" w:hAnsi="Arial" w:cs="Arial"/>
          <w:b/>
          <w:color w:val="1F497D" w:themeColor="text2"/>
          <w:szCs w:val="28"/>
        </w:rPr>
      </w:pPr>
      <w:r w:rsidRPr="002D0FEF">
        <w:rPr>
          <w:rFonts w:ascii="Arial" w:hAnsi="Arial" w:cs="Arial"/>
          <w:b/>
          <w:color w:val="1F497D" w:themeColor="text2"/>
          <w:szCs w:val="28"/>
        </w:rPr>
        <w:t>Avalia</w:t>
      </w:r>
      <w:r w:rsidRPr="002D0FEF">
        <w:rPr>
          <w:rFonts w:ascii="Arial" w:hAnsi="Arial" w:cs="Arial" w:hint="eastAsia"/>
          <w:b/>
          <w:color w:val="1F497D" w:themeColor="text2"/>
          <w:szCs w:val="28"/>
        </w:rPr>
        <w:t>çã</w:t>
      </w:r>
      <w:r w:rsidRPr="002D0FEF">
        <w:rPr>
          <w:rFonts w:ascii="Arial" w:hAnsi="Arial" w:cs="Arial"/>
          <w:b/>
          <w:color w:val="1F497D" w:themeColor="text2"/>
          <w:szCs w:val="28"/>
        </w:rPr>
        <w:t xml:space="preserve">o da </w:t>
      </w:r>
      <w:r w:rsidR="007954B3">
        <w:rPr>
          <w:rFonts w:ascii="Arial" w:hAnsi="Arial" w:cs="Arial"/>
          <w:b/>
          <w:color w:val="1F497D" w:themeColor="text2"/>
          <w:szCs w:val="28"/>
        </w:rPr>
        <w:t>E</w:t>
      </w:r>
      <w:r w:rsidRPr="002D0FEF">
        <w:rPr>
          <w:rFonts w:ascii="Arial" w:hAnsi="Arial" w:cs="Arial"/>
          <w:b/>
          <w:color w:val="1F497D" w:themeColor="text2"/>
          <w:szCs w:val="28"/>
        </w:rPr>
        <w:t>fic</w:t>
      </w:r>
      <w:r w:rsidRPr="002D0FEF">
        <w:rPr>
          <w:rFonts w:ascii="Arial" w:hAnsi="Arial" w:cs="Arial" w:hint="eastAsia"/>
          <w:b/>
          <w:color w:val="1F497D" w:themeColor="text2"/>
          <w:szCs w:val="28"/>
        </w:rPr>
        <w:t>á</w:t>
      </w:r>
      <w:r w:rsidRPr="002D0FEF">
        <w:rPr>
          <w:rFonts w:ascii="Arial" w:hAnsi="Arial" w:cs="Arial"/>
          <w:b/>
          <w:color w:val="1F497D" w:themeColor="text2"/>
          <w:szCs w:val="28"/>
        </w:rPr>
        <w:t xml:space="preserve">cia e </w:t>
      </w:r>
      <w:r w:rsidR="007954B3">
        <w:rPr>
          <w:rFonts w:ascii="Arial" w:hAnsi="Arial" w:cs="Arial"/>
          <w:b/>
          <w:color w:val="1F497D" w:themeColor="text2"/>
          <w:szCs w:val="28"/>
        </w:rPr>
        <w:t>S</w:t>
      </w:r>
      <w:r w:rsidRPr="002D0FEF">
        <w:rPr>
          <w:rFonts w:ascii="Arial" w:hAnsi="Arial" w:cs="Arial"/>
          <w:b/>
          <w:color w:val="1F497D" w:themeColor="text2"/>
          <w:szCs w:val="28"/>
        </w:rPr>
        <w:t>eguran</w:t>
      </w:r>
      <w:r w:rsidRPr="002D0FEF">
        <w:rPr>
          <w:rFonts w:ascii="Arial" w:hAnsi="Arial" w:cs="Arial" w:hint="eastAsia"/>
          <w:b/>
          <w:color w:val="1F497D" w:themeColor="text2"/>
          <w:szCs w:val="28"/>
        </w:rPr>
        <w:t>ç</w:t>
      </w:r>
      <w:r w:rsidRPr="002D0FEF">
        <w:rPr>
          <w:rFonts w:ascii="Arial" w:hAnsi="Arial" w:cs="Arial"/>
          <w:b/>
          <w:color w:val="1F497D" w:themeColor="text2"/>
          <w:szCs w:val="28"/>
        </w:rPr>
        <w:t xml:space="preserve">a dos </w:t>
      </w:r>
      <w:r w:rsidR="007954B3">
        <w:rPr>
          <w:rFonts w:ascii="Arial" w:hAnsi="Arial" w:cs="Arial"/>
          <w:b/>
          <w:color w:val="1F497D" w:themeColor="text2"/>
          <w:szCs w:val="28"/>
        </w:rPr>
        <w:t>I</w:t>
      </w:r>
      <w:r w:rsidRPr="002D0FEF">
        <w:rPr>
          <w:rFonts w:ascii="Arial" w:hAnsi="Arial" w:cs="Arial"/>
          <w:b/>
          <w:color w:val="1F497D" w:themeColor="text2"/>
          <w:szCs w:val="28"/>
        </w:rPr>
        <w:t xml:space="preserve">nibidores do </w:t>
      </w:r>
      <w:r w:rsidR="007954B3">
        <w:rPr>
          <w:rFonts w:ascii="Arial" w:hAnsi="Arial" w:cs="Arial"/>
          <w:b/>
          <w:color w:val="1F497D" w:themeColor="text2"/>
          <w:szCs w:val="28"/>
        </w:rPr>
        <w:t>C</w:t>
      </w:r>
      <w:r w:rsidRPr="002D0FEF">
        <w:rPr>
          <w:rFonts w:ascii="Arial" w:hAnsi="Arial" w:cs="Arial"/>
          <w:b/>
          <w:color w:val="1F497D" w:themeColor="text2"/>
          <w:szCs w:val="28"/>
        </w:rPr>
        <w:t xml:space="preserve">otransportador tubular de </w:t>
      </w:r>
      <w:r w:rsidR="007954B3">
        <w:rPr>
          <w:rFonts w:ascii="Arial" w:hAnsi="Arial" w:cs="Arial"/>
          <w:b/>
          <w:color w:val="1F497D" w:themeColor="text2"/>
          <w:szCs w:val="28"/>
        </w:rPr>
        <w:t>S</w:t>
      </w:r>
      <w:r w:rsidRPr="002D0FEF">
        <w:rPr>
          <w:rFonts w:ascii="Arial" w:hAnsi="Arial" w:cs="Arial" w:hint="eastAsia"/>
          <w:b/>
          <w:color w:val="1F497D" w:themeColor="text2"/>
          <w:szCs w:val="28"/>
        </w:rPr>
        <w:t>ó</w:t>
      </w:r>
      <w:r w:rsidRPr="002D0FEF">
        <w:rPr>
          <w:rFonts w:ascii="Arial" w:hAnsi="Arial" w:cs="Arial"/>
          <w:b/>
          <w:color w:val="1F497D" w:themeColor="text2"/>
          <w:szCs w:val="28"/>
        </w:rPr>
        <w:t xml:space="preserve">dio e </w:t>
      </w:r>
      <w:r w:rsidR="007954B3">
        <w:rPr>
          <w:rFonts w:ascii="Arial" w:hAnsi="Arial" w:cs="Arial"/>
          <w:b/>
          <w:color w:val="1F497D" w:themeColor="text2"/>
          <w:szCs w:val="28"/>
        </w:rPr>
        <w:t>G</w:t>
      </w:r>
      <w:r w:rsidRPr="002D0FEF">
        <w:rPr>
          <w:rFonts w:ascii="Arial" w:hAnsi="Arial" w:cs="Arial"/>
          <w:b/>
          <w:color w:val="1F497D" w:themeColor="text2"/>
          <w:szCs w:val="28"/>
        </w:rPr>
        <w:t xml:space="preserve">licose tipo 2: </w:t>
      </w:r>
      <w:r w:rsidR="007954B3">
        <w:rPr>
          <w:rFonts w:ascii="Arial" w:hAnsi="Arial" w:cs="Arial"/>
          <w:b/>
          <w:color w:val="1F497D" w:themeColor="text2"/>
          <w:szCs w:val="28"/>
        </w:rPr>
        <w:t>R</w:t>
      </w:r>
      <w:r w:rsidRPr="002D0FEF">
        <w:rPr>
          <w:rFonts w:ascii="Arial" w:hAnsi="Arial" w:cs="Arial"/>
          <w:b/>
          <w:color w:val="1F497D" w:themeColor="text2"/>
          <w:szCs w:val="28"/>
        </w:rPr>
        <w:t>evis</w:t>
      </w:r>
      <w:r w:rsidRPr="002D0FEF">
        <w:rPr>
          <w:rFonts w:ascii="Arial" w:hAnsi="Arial" w:cs="Arial" w:hint="eastAsia"/>
          <w:b/>
          <w:color w:val="1F497D" w:themeColor="text2"/>
          <w:szCs w:val="28"/>
        </w:rPr>
        <w:t>ã</w:t>
      </w:r>
      <w:r w:rsidRPr="002D0FEF">
        <w:rPr>
          <w:rFonts w:ascii="Arial" w:hAnsi="Arial" w:cs="Arial"/>
          <w:b/>
          <w:color w:val="1F497D" w:themeColor="text2"/>
          <w:szCs w:val="28"/>
        </w:rPr>
        <w:t xml:space="preserve">o </w:t>
      </w:r>
      <w:r w:rsidR="007954B3">
        <w:rPr>
          <w:rFonts w:ascii="Arial" w:hAnsi="Arial" w:cs="Arial"/>
          <w:b/>
          <w:color w:val="1F497D" w:themeColor="text2"/>
          <w:szCs w:val="28"/>
        </w:rPr>
        <w:t>S</w:t>
      </w:r>
      <w:r w:rsidRPr="002D0FEF">
        <w:rPr>
          <w:rFonts w:ascii="Arial" w:hAnsi="Arial" w:cs="Arial"/>
          <w:b/>
          <w:color w:val="1F497D" w:themeColor="text2"/>
          <w:szCs w:val="28"/>
        </w:rPr>
        <w:t>istem</w:t>
      </w:r>
      <w:r w:rsidRPr="002D0FEF">
        <w:rPr>
          <w:rFonts w:ascii="Arial" w:hAnsi="Arial" w:cs="Arial" w:hint="eastAsia"/>
          <w:b/>
          <w:color w:val="1F497D" w:themeColor="text2"/>
          <w:szCs w:val="28"/>
        </w:rPr>
        <w:t>á</w:t>
      </w:r>
      <w:r w:rsidRPr="002D0FEF">
        <w:rPr>
          <w:rFonts w:ascii="Arial" w:hAnsi="Arial" w:cs="Arial"/>
          <w:b/>
          <w:color w:val="1F497D" w:themeColor="text2"/>
          <w:szCs w:val="28"/>
        </w:rPr>
        <w:t xml:space="preserve">tica e </w:t>
      </w:r>
      <w:r w:rsidR="007954B3">
        <w:rPr>
          <w:rFonts w:ascii="Arial" w:hAnsi="Arial" w:cs="Arial"/>
          <w:b/>
          <w:color w:val="1F497D" w:themeColor="text2"/>
          <w:szCs w:val="28"/>
        </w:rPr>
        <w:t>M</w:t>
      </w:r>
      <w:r w:rsidRPr="002D0FEF">
        <w:rPr>
          <w:rFonts w:ascii="Arial" w:hAnsi="Arial" w:cs="Arial"/>
          <w:b/>
          <w:color w:val="1F497D" w:themeColor="text2"/>
          <w:szCs w:val="28"/>
        </w:rPr>
        <w:t>etan</w:t>
      </w:r>
      <w:r w:rsidR="007954B3">
        <w:rPr>
          <w:rFonts w:ascii="Arial" w:hAnsi="Arial" w:cs="Arial"/>
          <w:b/>
          <w:color w:val="1F497D" w:themeColor="text2"/>
          <w:szCs w:val="28"/>
        </w:rPr>
        <w:t>á</w:t>
      </w:r>
      <w:r w:rsidRPr="002D0FEF">
        <w:rPr>
          <w:rFonts w:ascii="Arial" w:hAnsi="Arial" w:cs="Arial"/>
          <w:b/>
          <w:color w:val="1F497D" w:themeColor="text2"/>
          <w:szCs w:val="28"/>
        </w:rPr>
        <w:t>lise</w:t>
      </w:r>
    </w:p>
    <w:p w14:paraId="6EC279FE" w14:textId="397085A5" w:rsidR="00164E46" w:rsidRPr="006471D5" w:rsidRDefault="00AF49B0" w:rsidP="00164E46">
      <w:pPr>
        <w:spacing w:before="240" w:after="240"/>
        <w:jc w:val="center"/>
        <w:rPr>
          <w:rFonts w:ascii="Arial" w:hAnsi="Arial" w:cs="Arial"/>
          <w:i/>
          <w:color w:val="1F497D" w:themeColor="text2"/>
          <w:szCs w:val="28"/>
        </w:rPr>
      </w:pPr>
      <w:r>
        <w:rPr>
          <w:rFonts w:ascii="Arial" w:hAnsi="Arial" w:cs="Arial"/>
          <w:i/>
          <w:color w:val="1F497D" w:themeColor="text2"/>
          <w:szCs w:val="28"/>
        </w:rPr>
        <w:t xml:space="preserve">Evaluation of the Efficacy and Safety of Sodium and Glucose Type </w:t>
      </w:r>
      <w:r w:rsidR="00DE4E11">
        <w:rPr>
          <w:rFonts w:ascii="Arial" w:hAnsi="Arial" w:cs="Arial"/>
          <w:i/>
          <w:color w:val="1F497D" w:themeColor="text2"/>
          <w:szCs w:val="28"/>
        </w:rPr>
        <w:t>2Tubular Cotransporter Inhibitors: Systematic Review and Meta-analysis</w:t>
      </w:r>
    </w:p>
    <w:p w14:paraId="35CEFD9C" w14:textId="4B13D004" w:rsidR="00DD6B14" w:rsidRDefault="002E36DB" w:rsidP="005D60F0">
      <w:pPr>
        <w:ind w:left="-426"/>
        <w:jc w:val="both"/>
        <w:rPr>
          <w:rFonts w:ascii="Arial" w:hAnsi="Arial" w:cs="Arial"/>
          <w:color w:val="1F497D" w:themeColor="text2"/>
          <w:lang w:val="en-US"/>
        </w:rPr>
      </w:pPr>
      <w:r>
        <w:rPr>
          <w:rFonts w:ascii="Arial" w:hAnsi="Arial" w:cs="Arial"/>
          <w:noProof/>
          <w:color w:val="1F497D" w:themeColor="text2"/>
        </w:rPr>
        <mc:AlternateContent>
          <mc:Choice Requires="wps">
            <w:drawing>
              <wp:anchor distT="0" distB="0" distL="114300" distR="114300" simplePos="0" relativeHeight="251661312" behindDoc="0" locked="0" layoutInCell="0" allowOverlap="1" wp14:anchorId="2700C984" wp14:editId="624EB704">
                <wp:simplePos x="0" y="0"/>
                <wp:positionH relativeFrom="margin">
                  <wp:posOffset>5039360</wp:posOffset>
                </wp:positionH>
                <wp:positionV relativeFrom="margin">
                  <wp:posOffset>1334135</wp:posOffset>
                </wp:positionV>
                <wp:extent cx="1802765" cy="6540500"/>
                <wp:effectExtent l="0" t="133350" r="235585" b="12700"/>
                <wp:wrapSquare wrapText="bothSides"/>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765" cy="6540500"/>
                        </a:xfrm>
                        <a:prstGeom prst="roundRect">
                          <a:avLst>
                            <a:gd name="adj" fmla="val 10394"/>
                          </a:avLst>
                        </a:prstGeom>
                        <a:solidFill>
                          <a:schemeClr val="accent1">
                            <a:lumMod val="100000"/>
                            <a:lumOff val="0"/>
                          </a:schemeClr>
                        </a:solidFill>
                        <a:ln w="9525">
                          <a:solidFill>
                            <a:srgbClr val="4F81BD"/>
                          </a:solidFill>
                          <a:round/>
                          <a:headEnd/>
                          <a:tailEnd/>
                        </a:ln>
                        <a:effectLst>
                          <a:outerShdw dist="660034" dir="20934377" sx="75000" sy="75000" algn="tl" rotWithShape="0">
                            <a:srgbClr val="BFBFBF">
                              <a:alpha val="50000"/>
                            </a:srgbClr>
                          </a:outerShdw>
                        </a:effectLst>
                      </wps:spPr>
                      <wps:txbx>
                        <w:txbxContent>
                          <w:p w14:paraId="6296CEE4" w14:textId="2CC0DA85" w:rsidR="00E83B3A" w:rsidRPr="00787B27" w:rsidRDefault="00AC38A8" w:rsidP="00E83B3A">
                            <w:pPr>
                              <w:spacing w:after="12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 xml:space="preserve">1 </w:t>
                            </w:r>
                            <w:r w:rsidR="00DC6000">
                              <w:rPr>
                                <w:rFonts w:ascii="Arial" w:hAnsi="Arial" w:cs="Arial"/>
                                <w:b/>
                                <w:color w:val="FFFFFF" w:themeColor="background1"/>
                                <w:sz w:val="16"/>
                                <w:szCs w:val="16"/>
                              </w:rPr>
                              <w:t xml:space="preserve">Mestre </w:t>
                            </w:r>
                            <w:r w:rsidR="00E83B3A">
                              <w:rPr>
                                <w:rFonts w:ascii="Arial" w:hAnsi="Arial" w:cs="Arial"/>
                                <w:b/>
                                <w:color w:val="FFFFFF" w:themeColor="background1"/>
                                <w:sz w:val="16"/>
                                <w:szCs w:val="16"/>
                              </w:rPr>
                              <w:t xml:space="preserve">em Medicamentos e Assistência Farmacêutica </w:t>
                            </w:r>
                            <w:r w:rsidR="00FE4164">
                              <w:rPr>
                                <w:rFonts w:ascii="Arial" w:hAnsi="Arial" w:cs="Arial"/>
                                <w:b/>
                                <w:color w:val="FFFFFF" w:themeColor="background1"/>
                                <w:sz w:val="16"/>
                                <w:szCs w:val="16"/>
                              </w:rPr>
                              <w:t>pela</w:t>
                            </w:r>
                            <w:r w:rsidR="00E83B3A">
                              <w:rPr>
                                <w:rFonts w:ascii="Arial" w:hAnsi="Arial" w:cs="Arial"/>
                                <w:b/>
                                <w:color w:val="FFFFFF" w:themeColor="background1"/>
                                <w:sz w:val="16"/>
                                <w:szCs w:val="16"/>
                              </w:rPr>
                              <w:t xml:space="preserve"> Universidade Federal de Minas Gerais</w:t>
                            </w:r>
                            <w:r w:rsidRPr="00787B27">
                              <w:rPr>
                                <w:rFonts w:ascii="Arial" w:hAnsi="Arial" w:cs="Arial"/>
                                <w:b/>
                                <w:color w:val="FFFFFF" w:themeColor="background1"/>
                                <w:sz w:val="16"/>
                                <w:szCs w:val="16"/>
                              </w:rPr>
                              <w:t xml:space="preserve">. E-mail: </w:t>
                            </w:r>
                            <w:r w:rsidR="00E83B3A" w:rsidRPr="00E83B3A">
                              <w:rPr>
                                <w:rFonts w:ascii="Arial" w:hAnsi="Arial" w:cs="Arial"/>
                                <w:b/>
                                <w:color w:val="FFFFFF" w:themeColor="background1"/>
                                <w:sz w:val="16"/>
                                <w:szCs w:val="16"/>
                              </w:rPr>
                              <w:t>humbertobatista8@hotmail.com.ORCID</w:t>
                            </w:r>
                            <w:r w:rsidR="00E83B3A">
                              <w:rPr>
                                <w:rFonts w:ascii="Arial" w:hAnsi="Arial" w:cs="Arial"/>
                                <w:b/>
                                <w:color w:val="FFFFFF" w:themeColor="background1"/>
                                <w:sz w:val="16"/>
                                <w:szCs w:val="16"/>
                              </w:rPr>
                              <w:t xml:space="preserve">: </w:t>
                            </w:r>
                            <w:r w:rsidR="00E83B3A" w:rsidRPr="00E83B3A">
                              <w:rPr>
                                <w:rFonts w:ascii="Arial" w:hAnsi="Arial" w:cs="Arial"/>
                                <w:b/>
                                <w:color w:val="FFFFFF" w:themeColor="background1"/>
                                <w:sz w:val="16"/>
                                <w:szCs w:val="16"/>
                              </w:rPr>
                              <w:t>https://orcid.org/0000-0002-6435-1606</w:t>
                            </w:r>
                          </w:p>
                          <w:p w14:paraId="22F4C2F7" w14:textId="2651973B" w:rsidR="00AC38A8" w:rsidRPr="00787B27" w:rsidRDefault="00AC38A8" w:rsidP="00AE3EE8">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 xml:space="preserve">2 </w:t>
                            </w:r>
                            <w:r w:rsidR="00E83B3A">
                              <w:rPr>
                                <w:rFonts w:ascii="Arial" w:hAnsi="Arial" w:cs="Arial"/>
                                <w:b/>
                                <w:color w:val="FFFFFF" w:themeColor="background1"/>
                                <w:sz w:val="16"/>
                                <w:szCs w:val="16"/>
                              </w:rPr>
                              <w:t>Graduando em medicina pela Faculdade Ciências Médicas de Minas Gerais</w:t>
                            </w:r>
                            <w:r w:rsidRPr="00787B27">
                              <w:rPr>
                                <w:rFonts w:ascii="Arial" w:hAnsi="Arial" w:cs="Arial"/>
                                <w:b/>
                                <w:color w:val="FFFFFF" w:themeColor="background1"/>
                                <w:sz w:val="16"/>
                                <w:szCs w:val="16"/>
                              </w:rPr>
                              <w:t>.</w:t>
                            </w:r>
                            <w:r w:rsidR="00E83B3A">
                              <w:rPr>
                                <w:rFonts w:ascii="Arial" w:hAnsi="Arial" w:cs="Arial"/>
                                <w:b/>
                                <w:color w:val="FFFFFF" w:themeColor="background1"/>
                                <w:sz w:val="16"/>
                                <w:szCs w:val="16"/>
                              </w:rPr>
                              <w:t xml:space="preserve"> E-mail: </w:t>
                            </w:r>
                            <w:r w:rsidR="00FE4164" w:rsidRPr="00FE4164">
                              <w:rPr>
                                <w:rFonts w:ascii="Arial" w:hAnsi="Arial" w:cs="Arial"/>
                                <w:b/>
                                <w:color w:val="FFFFFF" w:themeColor="background1"/>
                                <w:sz w:val="16"/>
                                <w:szCs w:val="16"/>
                              </w:rPr>
                              <w:t>raphamcipriano2002@hotmail.com</w:t>
                            </w:r>
                            <w:r w:rsidR="00FE4164">
                              <w:rPr>
                                <w:rFonts w:ascii="Arial" w:hAnsi="Arial" w:cs="Arial"/>
                                <w:b/>
                                <w:color w:val="FFFFFF" w:themeColor="background1"/>
                                <w:sz w:val="16"/>
                                <w:szCs w:val="16"/>
                              </w:rPr>
                              <w:t xml:space="preserve">. ORCID: </w:t>
                            </w:r>
                            <w:r w:rsidR="00FE4164" w:rsidRPr="00FE4164">
                              <w:rPr>
                                <w:rFonts w:ascii="Arial" w:hAnsi="Arial" w:cs="Arial"/>
                                <w:b/>
                                <w:color w:val="FFFFFF" w:themeColor="background1"/>
                                <w:sz w:val="16"/>
                                <w:szCs w:val="16"/>
                              </w:rPr>
                              <w:t>https://orcid.org/0009-0008-9080-1069</w:t>
                            </w:r>
                          </w:p>
                          <w:p w14:paraId="22E83242" w14:textId="66C455D2" w:rsidR="00AC38A8" w:rsidRPr="00787B27" w:rsidRDefault="00AC38A8" w:rsidP="00AE3EE8">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 xml:space="preserve">3 </w:t>
                            </w:r>
                            <w:r w:rsidR="00FE4164">
                              <w:rPr>
                                <w:rFonts w:ascii="Arial" w:hAnsi="Arial" w:cs="Arial"/>
                                <w:b/>
                                <w:color w:val="FFFFFF" w:themeColor="background1"/>
                                <w:sz w:val="16"/>
                                <w:szCs w:val="16"/>
                              </w:rPr>
                              <w:t>Mestra em Medicamentos e Assistência Farmacêutica pela Universidade Federal de Minas Gerais</w:t>
                            </w:r>
                            <w:r w:rsidRPr="00787B27">
                              <w:rPr>
                                <w:rFonts w:ascii="Arial" w:hAnsi="Arial" w:cs="Arial"/>
                                <w:b/>
                                <w:color w:val="FFFFFF" w:themeColor="background1"/>
                                <w:sz w:val="16"/>
                                <w:szCs w:val="16"/>
                              </w:rPr>
                              <w:t>.</w:t>
                            </w:r>
                            <w:r w:rsidR="00FE4164">
                              <w:rPr>
                                <w:rFonts w:ascii="Arial" w:hAnsi="Arial" w:cs="Arial"/>
                                <w:b/>
                                <w:color w:val="FFFFFF" w:themeColor="background1"/>
                                <w:sz w:val="16"/>
                                <w:szCs w:val="16"/>
                              </w:rPr>
                              <w:t xml:space="preserve"> E-mail: ursulac.martins</w:t>
                            </w:r>
                            <w:r w:rsidR="00FE4164" w:rsidRPr="00FE4164">
                              <w:rPr>
                                <w:rFonts w:ascii="Arial" w:hAnsi="Arial" w:cs="Arial"/>
                                <w:b/>
                                <w:color w:val="FFFFFF" w:themeColor="background1"/>
                                <w:sz w:val="16"/>
                                <w:szCs w:val="16"/>
                              </w:rPr>
                              <w:t>@gmail.com</w:t>
                            </w:r>
                            <w:r w:rsidR="00FE4164">
                              <w:rPr>
                                <w:rFonts w:ascii="Arial" w:hAnsi="Arial" w:cs="Arial"/>
                                <w:b/>
                                <w:color w:val="FFFFFF" w:themeColor="background1"/>
                                <w:sz w:val="16"/>
                                <w:szCs w:val="16"/>
                              </w:rPr>
                              <w:t>. ORCID:</w:t>
                            </w:r>
                            <w:r w:rsidRPr="00787B27">
                              <w:rPr>
                                <w:rFonts w:ascii="Arial" w:hAnsi="Arial" w:cs="Arial"/>
                                <w:b/>
                                <w:color w:val="FFFFFF" w:themeColor="background1"/>
                                <w:sz w:val="16"/>
                                <w:szCs w:val="16"/>
                              </w:rPr>
                              <w:t xml:space="preserve"> </w:t>
                            </w:r>
                            <w:r w:rsidR="00FE4164" w:rsidRPr="00FE4164">
                              <w:rPr>
                                <w:rFonts w:ascii="Arial" w:hAnsi="Arial" w:cs="Arial"/>
                                <w:b/>
                                <w:color w:val="FFFFFF" w:themeColor="background1"/>
                                <w:sz w:val="16"/>
                                <w:szCs w:val="16"/>
                              </w:rPr>
                              <w:t>https://orcid.org/0000-0001-8616-7351</w:t>
                            </w:r>
                          </w:p>
                          <w:p w14:paraId="40DCCE1E" w14:textId="3941967F" w:rsidR="00AC38A8" w:rsidRPr="00787B27" w:rsidRDefault="00AC38A8" w:rsidP="00AE3EE8">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4</w:t>
                            </w:r>
                            <w:r w:rsidRPr="00787B27">
                              <w:rPr>
                                <w:rFonts w:ascii="Arial" w:hAnsi="Arial" w:cs="Arial"/>
                                <w:b/>
                                <w:color w:val="FFFFFF" w:themeColor="background1"/>
                                <w:sz w:val="16"/>
                                <w:szCs w:val="16"/>
                              </w:rPr>
                              <w:t xml:space="preserve"> </w:t>
                            </w:r>
                            <w:r w:rsidR="00FE4164">
                              <w:rPr>
                                <w:rFonts w:ascii="Arial" w:hAnsi="Arial" w:cs="Arial"/>
                                <w:b/>
                                <w:color w:val="FFFFFF" w:themeColor="background1"/>
                                <w:sz w:val="16"/>
                                <w:szCs w:val="16"/>
                              </w:rPr>
                              <w:t>Do</w:t>
                            </w:r>
                            <w:r w:rsidR="00376937">
                              <w:rPr>
                                <w:rFonts w:ascii="Arial" w:hAnsi="Arial" w:cs="Arial"/>
                                <w:b/>
                                <w:color w:val="FFFFFF" w:themeColor="background1"/>
                                <w:sz w:val="16"/>
                                <w:szCs w:val="16"/>
                              </w:rPr>
                              <w:t>u</w:t>
                            </w:r>
                            <w:r w:rsidR="00FE4164">
                              <w:rPr>
                                <w:rFonts w:ascii="Arial" w:hAnsi="Arial" w:cs="Arial"/>
                                <w:b/>
                                <w:color w:val="FFFFFF" w:themeColor="background1"/>
                                <w:sz w:val="16"/>
                                <w:szCs w:val="16"/>
                              </w:rPr>
                              <w:t>tor em Saúde Pública pela Universidade Federal de Minas Gerais</w:t>
                            </w:r>
                            <w:r w:rsidR="00FE4164" w:rsidRPr="00787B27">
                              <w:rPr>
                                <w:rFonts w:ascii="Arial" w:hAnsi="Arial" w:cs="Arial"/>
                                <w:b/>
                                <w:color w:val="FFFFFF" w:themeColor="background1"/>
                                <w:sz w:val="16"/>
                                <w:szCs w:val="16"/>
                              </w:rPr>
                              <w:t>.</w:t>
                            </w:r>
                            <w:r w:rsidR="00FE4164">
                              <w:rPr>
                                <w:rFonts w:ascii="Arial" w:hAnsi="Arial" w:cs="Arial"/>
                                <w:b/>
                                <w:color w:val="FFFFFF" w:themeColor="background1"/>
                                <w:sz w:val="16"/>
                                <w:szCs w:val="16"/>
                              </w:rPr>
                              <w:t xml:space="preserve"> E-mail: </w:t>
                            </w:r>
                            <w:r w:rsidR="00FE4164" w:rsidRPr="00FE4164">
                              <w:rPr>
                                <w:rFonts w:ascii="Arial" w:hAnsi="Arial" w:cs="Arial"/>
                                <w:b/>
                                <w:color w:val="FFFFFF" w:themeColor="background1"/>
                                <w:sz w:val="16"/>
                                <w:szCs w:val="16"/>
                              </w:rPr>
                              <w:t>augustoguerramg@gmail.com</w:t>
                            </w:r>
                            <w:r w:rsidR="00FE4164">
                              <w:rPr>
                                <w:rFonts w:ascii="Arial" w:hAnsi="Arial" w:cs="Arial"/>
                                <w:b/>
                                <w:color w:val="FFFFFF" w:themeColor="background1"/>
                                <w:sz w:val="16"/>
                                <w:szCs w:val="16"/>
                              </w:rPr>
                              <w:t>. ORCID:</w:t>
                            </w:r>
                            <w:r w:rsidR="00FE4164" w:rsidRPr="00787B27">
                              <w:rPr>
                                <w:rFonts w:ascii="Arial" w:hAnsi="Arial" w:cs="Arial"/>
                                <w:b/>
                                <w:color w:val="FFFFFF" w:themeColor="background1"/>
                                <w:sz w:val="16"/>
                                <w:szCs w:val="16"/>
                              </w:rPr>
                              <w:t xml:space="preserve"> </w:t>
                            </w:r>
                            <w:r w:rsidR="00FE4164" w:rsidRPr="00FE4164">
                              <w:rPr>
                                <w:rFonts w:ascii="Arial" w:hAnsi="Arial" w:cs="Arial"/>
                                <w:b/>
                                <w:color w:val="FFFFFF" w:themeColor="background1"/>
                                <w:sz w:val="16"/>
                                <w:szCs w:val="16"/>
                              </w:rPr>
                              <w:t>https://orcid.org/0000-0001-5256-0577</w:t>
                            </w:r>
                          </w:p>
                          <w:p w14:paraId="71DC1AF4" w14:textId="778E9110" w:rsidR="00AC38A8" w:rsidRDefault="00AC38A8" w:rsidP="00AE3EE8">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5</w:t>
                            </w:r>
                            <w:r w:rsidRPr="00787B27">
                              <w:rPr>
                                <w:rFonts w:ascii="Arial" w:hAnsi="Arial" w:cs="Arial"/>
                                <w:b/>
                                <w:color w:val="FFFFFF" w:themeColor="background1"/>
                                <w:sz w:val="16"/>
                                <w:szCs w:val="16"/>
                              </w:rPr>
                              <w:t xml:space="preserve"> </w:t>
                            </w:r>
                            <w:r w:rsidR="00FE4164">
                              <w:rPr>
                                <w:rFonts w:ascii="Arial" w:hAnsi="Arial" w:cs="Arial"/>
                                <w:b/>
                                <w:color w:val="FFFFFF" w:themeColor="background1"/>
                                <w:sz w:val="16"/>
                                <w:szCs w:val="16"/>
                              </w:rPr>
                              <w:t>Doutor em Clínica Médica pela Universidade Federal de Minas Gerais</w:t>
                            </w:r>
                            <w:r w:rsidRPr="00787B27">
                              <w:rPr>
                                <w:rFonts w:ascii="Arial" w:hAnsi="Arial" w:cs="Arial"/>
                                <w:b/>
                                <w:color w:val="FFFFFF" w:themeColor="background1"/>
                                <w:sz w:val="16"/>
                                <w:szCs w:val="16"/>
                              </w:rPr>
                              <w:t>.</w:t>
                            </w:r>
                            <w:r w:rsidR="00FE4164">
                              <w:rPr>
                                <w:rFonts w:ascii="Arial" w:hAnsi="Arial" w:cs="Arial"/>
                                <w:b/>
                                <w:color w:val="FFFFFF" w:themeColor="background1"/>
                                <w:sz w:val="16"/>
                                <w:szCs w:val="16"/>
                              </w:rPr>
                              <w:t xml:space="preserve"> E-mail: </w:t>
                            </w:r>
                            <w:r w:rsidR="00FE4164" w:rsidRPr="00FE4164">
                              <w:rPr>
                                <w:rFonts w:ascii="Arial" w:hAnsi="Arial" w:cs="Arial"/>
                                <w:b/>
                                <w:color w:val="FFFFFF" w:themeColor="background1"/>
                                <w:sz w:val="16"/>
                                <w:szCs w:val="16"/>
                              </w:rPr>
                              <w:t>fracurcio@gmail.com</w:t>
                            </w:r>
                            <w:r w:rsidR="00FE4164">
                              <w:rPr>
                                <w:rFonts w:ascii="Arial" w:hAnsi="Arial" w:cs="Arial"/>
                                <w:b/>
                                <w:color w:val="FFFFFF" w:themeColor="background1"/>
                                <w:sz w:val="16"/>
                                <w:szCs w:val="16"/>
                              </w:rPr>
                              <w:t xml:space="preserve">. ORCID: </w:t>
                            </w:r>
                            <w:r w:rsidR="00376937" w:rsidRPr="00376937">
                              <w:rPr>
                                <w:rFonts w:ascii="Arial" w:hAnsi="Arial" w:cs="Arial"/>
                                <w:b/>
                                <w:color w:val="FFFFFF" w:themeColor="background1"/>
                                <w:sz w:val="16"/>
                                <w:szCs w:val="16"/>
                              </w:rPr>
                              <w:t>https://orcid.org/0000-0001-96518485</w:t>
                            </w:r>
                          </w:p>
                          <w:p w14:paraId="59252E40" w14:textId="02B5B4C6" w:rsidR="00376937" w:rsidRDefault="00376937" w:rsidP="00AE3EE8">
                            <w:pPr>
                              <w:spacing w:after="240"/>
                              <w:ind w:left="-284" w:right="-352"/>
                              <w:rPr>
                                <w:rFonts w:ascii="Arial" w:hAnsi="Arial" w:cs="Arial"/>
                                <w:b/>
                                <w:color w:val="FFFFFF" w:themeColor="background1"/>
                                <w:sz w:val="16"/>
                                <w:szCs w:val="16"/>
                              </w:rPr>
                            </w:pPr>
                            <w:r w:rsidRPr="00376937">
                              <w:rPr>
                                <w:rFonts w:ascii="Arial" w:hAnsi="Arial" w:cs="Arial"/>
                                <w:b/>
                                <w:color w:val="FFFFFF" w:themeColor="background1"/>
                                <w:sz w:val="16"/>
                                <w:szCs w:val="16"/>
                                <w:vertAlign w:val="superscript"/>
                              </w:rPr>
                              <w:t>6</w:t>
                            </w:r>
                            <w:r>
                              <w:rPr>
                                <w:rFonts w:ascii="Arial" w:hAnsi="Arial" w:cs="Arial"/>
                                <w:b/>
                                <w:color w:val="FFFFFF" w:themeColor="background1"/>
                                <w:sz w:val="16"/>
                                <w:szCs w:val="16"/>
                                <w:vertAlign w:val="superscript"/>
                              </w:rPr>
                              <w:t xml:space="preserve"> </w:t>
                            </w:r>
                            <w:r>
                              <w:rPr>
                                <w:rFonts w:ascii="Arial" w:hAnsi="Arial" w:cs="Arial"/>
                                <w:b/>
                                <w:color w:val="FFFFFF" w:themeColor="background1"/>
                                <w:sz w:val="16"/>
                                <w:szCs w:val="16"/>
                              </w:rPr>
                              <w:t xml:space="preserve"> Doutora em Saúde Pública pela Universidade Federal de Minas Gerais. E-mail: </w:t>
                            </w:r>
                            <w:r w:rsidRPr="00376937">
                              <w:rPr>
                                <w:rFonts w:ascii="Arial" w:hAnsi="Arial" w:cs="Arial"/>
                                <w:b/>
                                <w:color w:val="FFFFFF" w:themeColor="background1"/>
                                <w:sz w:val="16"/>
                                <w:szCs w:val="16"/>
                              </w:rPr>
                              <w:t>jualvares@gmail.com</w:t>
                            </w:r>
                            <w:r>
                              <w:rPr>
                                <w:rFonts w:ascii="Arial" w:hAnsi="Arial" w:cs="Arial"/>
                                <w:b/>
                                <w:color w:val="FFFFFF" w:themeColor="background1"/>
                                <w:sz w:val="16"/>
                                <w:szCs w:val="16"/>
                              </w:rPr>
                              <w:t xml:space="preserve">. ORCID: </w:t>
                            </w:r>
                            <w:r w:rsidRPr="00376937">
                              <w:rPr>
                                <w:rFonts w:ascii="Arial" w:hAnsi="Arial" w:cs="Arial"/>
                                <w:b/>
                                <w:color w:val="FFFFFF" w:themeColor="background1"/>
                                <w:sz w:val="16"/>
                                <w:szCs w:val="16"/>
                              </w:rPr>
                              <w:t>https://orcid.org/0000-0002-5880-5261</w:t>
                            </w:r>
                          </w:p>
                          <w:p w14:paraId="7A68DA10" w14:textId="77777777" w:rsidR="00376937" w:rsidRPr="00376937" w:rsidRDefault="00376937" w:rsidP="00376937">
                            <w:pPr>
                              <w:spacing w:after="240"/>
                              <w:ind w:left="-284" w:right="-352"/>
                              <w:rPr>
                                <w:rFonts w:ascii="Arial" w:hAnsi="Arial" w:cs="Arial"/>
                                <w:color w:val="FFFFFF" w:themeColor="background1"/>
                                <w:sz w:val="16"/>
                                <w:szCs w:val="16"/>
                              </w:rPr>
                            </w:pPr>
                            <w:r w:rsidRPr="00376937">
                              <w:rPr>
                                <w:rFonts w:ascii="Arial" w:hAnsi="Arial" w:cs="Arial"/>
                                <w:b/>
                                <w:color w:val="FFFFFF" w:themeColor="background1"/>
                                <w:sz w:val="16"/>
                                <w:szCs w:val="16"/>
                                <w:vertAlign w:val="superscript"/>
                              </w:rPr>
                              <w:t>7</w:t>
                            </w:r>
                            <w:r>
                              <w:rPr>
                                <w:rFonts w:ascii="Arial" w:hAnsi="Arial" w:cs="Arial"/>
                                <w:b/>
                                <w:color w:val="FFFFFF" w:themeColor="background1"/>
                                <w:sz w:val="16"/>
                                <w:szCs w:val="16"/>
                                <w:vertAlign w:val="superscript"/>
                              </w:rPr>
                              <w:t xml:space="preserve">  </w:t>
                            </w:r>
                            <w:r w:rsidRPr="00376937">
                              <w:rPr>
                                <w:rFonts w:ascii="Arial" w:hAnsi="Arial" w:cs="Arial"/>
                                <w:b/>
                                <w:color w:val="FFFFFF" w:themeColor="background1"/>
                                <w:sz w:val="16"/>
                                <w:szCs w:val="16"/>
                              </w:rPr>
                              <w:t>Doutor</w:t>
                            </w:r>
                            <w:r>
                              <w:rPr>
                                <w:rFonts w:ascii="Arial" w:hAnsi="Arial" w:cs="Arial"/>
                                <w:b/>
                                <w:color w:val="FFFFFF" w:themeColor="background1"/>
                                <w:sz w:val="16"/>
                                <w:szCs w:val="16"/>
                              </w:rPr>
                              <w:t xml:space="preserve"> em Ciência Animal pela Universidade Federal de Minas Gerais. E-mail: </w:t>
                            </w:r>
                            <w:r w:rsidRPr="00376937">
                              <w:rPr>
                                <w:rFonts w:ascii="Arial" w:hAnsi="Arial" w:cs="Arial"/>
                                <w:b/>
                                <w:color w:val="FFFFFF" w:themeColor="background1"/>
                                <w:sz w:val="16"/>
                                <w:szCs w:val="16"/>
                              </w:rPr>
                              <w:t>fracurcio@gmail.com</w:t>
                            </w:r>
                            <w:r>
                              <w:rPr>
                                <w:rFonts w:ascii="Arial" w:hAnsi="Arial" w:cs="Arial"/>
                                <w:b/>
                                <w:color w:val="FFFFFF" w:themeColor="background1"/>
                                <w:sz w:val="16"/>
                                <w:szCs w:val="16"/>
                              </w:rPr>
                              <w:t xml:space="preserve">. ORCID: </w:t>
                            </w:r>
                            <w:r w:rsidRPr="00376937">
                              <w:rPr>
                                <w:rFonts w:ascii="Arial" w:hAnsi="Arial" w:cs="Arial"/>
                                <w:b/>
                                <w:color w:val="FFFFFF" w:themeColor="background1"/>
                                <w:sz w:val="16"/>
                                <w:szCs w:val="16"/>
                              </w:rPr>
                              <w:t xml:space="preserve"> </w:t>
                            </w:r>
                            <w:r w:rsidRPr="00376937">
                              <w:rPr>
                                <w:rFonts w:ascii="Arial" w:hAnsi="Arial" w:cs="Arial"/>
                                <w:b/>
                                <w:bCs/>
                                <w:color w:val="FFFFFF" w:themeColor="background1"/>
                                <w:sz w:val="16"/>
                                <w:szCs w:val="16"/>
                              </w:rPr>
                              <w:t>https://orcid.org/0000-0002-5880-5261</w:t>
                            </w:r>
                          </w:p>
                          <w:p w14:paraId="45BD4D7E" w14:textId="238281EA" w:rsidR="00376937" w:rsidRPr="00376937" w:rsidRDefault="00376937" w:rsidP="00AE3EE8">
                            <w:pPr>
                              <w:spacing w:after="240"/>
                              <w:ind w:left="-284" w:right="-352"/>
                              <w:rPr>
                                <w:rFonts w:ascii="Arial" w:hAnsi="Arial" w:cs="Arial"/>
                                <w:b/>
                                <w:color w:val="FFFFFF" w:themeColor="background1"/>
                                <w:sz w:val="16"/>
                                <w:szCs w:val="16"/>
                              </w:rPr>
                            </w:pPr>
                          </w:p>
                          <w:p w14:paraId="6BC5FF13" w14:textId="77777777" w:rsidR="00376937" w:rsidRDefault="00376937" w:rsidP="00AE3EE8">
                            <w:pPr>
                              <w:spacing w:after="240"/>
                              <w:ind w:left="-284" w:right="-352"/>
                              <w:rPr>
                                <w:rFonts w:ascii="Arial" w:hAnsi="Arial" w:cs="Arial"/>
                                <w:b/>
                                <w:color w:val="FFFFFF" w:themeColor="background1"/>
                                <w:sz w:val="16"/>
                                <w:szCs w:val="16"/>
                              </w:rPr>
                            </w:pPr>
                          </w:p>
                          <w:p w14:paraId="2402FC7A" w14:textId="77777777" w:rsidR="004C0033" w:rsidRDefault="004C0033" w:rsidP="00AE3EE8">
                            <w:pPr>
                              <w:spacing w:after="240"/>
                              <w:ind w:left="-284" w:right="-352"/>
                              <w:rPr>
                                <w:rFonts w:ascii="Arial" w:hAnsi="Arial" w:cs="Arial"/>
                                <w:b/>
                                <w:color w:val="FFFFFF" w:themeColor="background1"/>
                                <w:sz w:val="16"/>
                                <w:szCs w:val="16"/>
                              </w:rPr>
                            </w:pPr>
                          </w:p>
                          <w:p w14:paraId="0F17D782" w14:textId="77777777" w:rsidR="00734797" w:rsidRDefault="00734797" w:rsidP="005628FE">
                            <w:pPr>
                              <w:spacing w:after="240"/>
                              <w:ind w:left="-284" w:right="-352"/>
                              <w:jc w:val="both"/>
                              <w:rPr>
                                <w:rFonts w:ascii="Arial" w:hAnsi="Arial" w:cs="Arial"/>
                                <w:b/>
                                <w:color w:val="FFFFFF" w:themeColor="background1"/>
                                <w:sz w:val="16"/>
                                <w:szCs w:val="16"/>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700C984" id="AutoShape 2" o:spid="_x0000_s1026" style="position:absolute;left:0;text-align:left;margin-left:396.8pt;margin-top:105.05pt;width:141.95pt;height:5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6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" o:allowincell="f" fillcolor="#4f81bd [3204]" strokecolor="#4f81bd">
                <v:shadow on="t" type="perspective" color="#bfbfbf" opacity=".5" origin="-.5,-.5" offset="51pt,-10pt" matrix=".75,,,.75"/>
                <v:textbox inset="18pt,18pt,18pt,18pt">
                  <w:txbxContent>
                    <w:p w14:paraId="6296CEE4" w14:textId="2CC0DA85" w:rsidR="00E83B3A" w:rsidRPr="00787B27" w:rsidRDefault="00AC38A8" w:rsidP="00E83B3A">
                      <w:pPr>
                        <w:spacing w:after="12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 xml:space="preserve">1 </w:t>
                      </w:r>
                      <w:r w:rsidR="00DC6000">
                        <w:rPr>
                          <w:rFonts w:ascii="Arial" w:hAnsi="Arial" w:cs="Arial"/>
                          <w:b/>
                          <w:color w:val="FFFFFF" w:themeColor="background1"/>
                          <w:sz w:val="16"/>
                          <w:szCs w:val="16"/>
                        </w:rPr>
                        <w:t xml:space="preserve">Mestre </w:t>
                      </w:r>
                      <w:r w:rsidR="00E83B3A">
                        <w:rPr>
                          <w:rFonts w:ascii="Arial" w:hAnsi="Arial" w:cs="Arial"/>
                          <w:b/>
                          <w:color w:val="FFFFFF" w:themeColor="background1"/>
                          <w:sz w:val="16"/>
                          <w:szCs w:val="16"/>
                        </w:rPr>
                        <w:t xml:space="preserve">em Medicamentos e Assistência Farmacêutica </w:t>
                      </w:r>
                      <w:r w:rsidR="00FE4164">
                        <w:rPr>
                          <w:rFonts w:ascii="Arial" w:hAnsi="Arial" w:cs="Arial"/>
                          <w:b/>
                          <w:color w:val="FFFFFF" w:themeColor="background1"/>
                          <w:sz w:val="16"/>
                          <w:szCs w:val="16"/>
                        </w:rPr>
                        <w:t>pela</w:t>
                      </w:r>
                      <w:r w:rsidR="00E83B3A">
                        <w:rPr>
                          <w:rFonts w:ascii="Arial" w:hAnsi="Arial" w:cs="Arial"/>
                          <w:b/>
                          <w:color w:val="FFFFFF" w:themeColor="background1"/>
                          <w:sz w:val="16"/>
                          <w:szCs w:val="16"/>
                        </w:rPr>
                        <w:t xml:space="preserve"> Universidade Federal de Minas Gerais</w:t>
                      </w:r>
                      <w:r w:rsidRPr="00787B27">
                        <w:rPr>
                          <w:rFonts w:ascii="Arial" w:hAnsi="Arial" w:cs="Arial"/>
                          <w:b/>
                          <w:color w:val="FFFFFF" w:themeColor="background1"/>
                          <w:sz w:val="16"/>
                          <w:szCs w:val="16"/>
                        </w:rPr>
                        <w:t xml:space="preserve">. E-mail: </w:t>
                      </w:r>
                      <w:r w:rsidR="00E83B3A" w:rsidRPr="00E83B3A">
                        <w:rPr>
                          <w:rFonts w:ascii="Arial" w:hAnsi="Arial" w:cs="Arial"/>
                          <w:b/>
                          <w:color w:val="FFFFFF" w:themeColor="background1"/>
                          <w:sz w:val="16"/>
                          <w:szCs w:val="16"/>
                        </w:rPr>
                        <w:t>humbertobatista8@hotmail.com.ORCID</w:t>
                      </w:r>
                      <w:r w:rsidR="00E83B3A">
                        <w:rPr>
                          <w:rFonts w:ascii="Arial" w:hAnsi="Arial" w:cs="Arial"/>
                          <w:b/>
                          <w:color w:val="FFFFFF" w:themeColor="background1"/>
                          <w:sz w:val="16"/>
                          <w:szCs w:val="16"/>
                        </w:rPr>
                        <w:t xml:space="preserve">: </w:t>
                      </w:r>
                      <w:r w:rsidR="00E83B3A" w:rsidRPr="00E83B3A">
                        <w:rPr>
                          <w:rFonts w:ascii="Arial" w:hAnsi="Arial" w:cs="Arial"/>
                          <w:b/>
                          <w:color w:val="FFFFFF" w:themeColor="background1"/>
                          <w:sz w:val="16"/>
                          <w:szCs w:val="16"/>
                        </w:rPr>
                        <w:t>https://orcid.org/0000-0002-6435-1606</w:t>
                      </w:r>
                    </w:p>
                    <w:p w14:paraId="22F4C2F7" w14:textId="2651973B" w:rsidR="00AC38A8" w:rsidRPr="00787B27" w:rsidRDefault="00AC38A8" w:rsidP="00AE3EE8">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 xml:space="preserve">2 </w:t>
                      </w:r>
                      <w:r w:rsidR="00E83B3A">
                        <w:rPr>
                          <w:rFonts w:ascii="Arial" w:hAnsi="Arial" w:cs="Arial"/>
                          <w:b/>
                          <w:color w:val="FFFFFF" w:themeColor="background1"/>
                          <w:sz w:val="16"/>
                          <w:szCs w:val="16"/>
                        </w:rPr>
                        <w:t>Graduando em medicina pela Faculdade Ciências Médicas de Minas Gerais</w:t>
                      </w:r>
                      <w:r w:rsidRPr="00787B27">
                        <w:rPr>
                          <w:rFonts w:ascii="Arial" w:hAnsi="Arial" w:cs="Arial"/>
                          <w:b/>
                          <w:color w:val="FFFFFF" w:themeColor="background1"/>
                          <w:sz w:val="16"/>
                          <w:szCs w:val="16"/>
                        </w:rPr>
                        <w:t>.</w:t>
                      </w:r>
                      <w:r w:rsidR="00E83B3A">
                        <w:rPr>
                          <w:rFonts w:ascii="Arial" w:hAnsi="Arial" w:cs="Arial"/>
                          <w:b/>
                          <w:color w:val="FFFFFF" w:themeColor="background1"/>
                          <w:sz w:val="16"/>
                          <w:szCs w:val="16"/>
                        </w:rPr>
                        <w:t xml:space="preserve"> E-mail: </w:t>
                      </w:r>
                      <w:r w:rsidR="00FE4164" w:rsidRPr="00FE4164">
                        <w:rPr>
                          <w:rFonts w:ascii="Arial" w:hAnsi="Arial" w:cs="Arial"/>
                          <w:b/>
                          <w:color w:val="FFFFFF" w:themeColor="background1"/>
                          <w:sz w:val="16"/>
                          <w:szCs w:val="16"/>
                        </w:rPr>
                        <w:t>raphamcipriano2002@hotmail.com</w:t>
                      </w:r>
                      <w:r w:rsidR="00FE4164">
                        <w:rPr>
                          <w:rFonts w:ascii="Arial" w:hAnsi="Arial" w:cs="Arial"/>
                          <w:b/>
                          <w:color w:val="FFFFFF" w:themeColor="background1"/>
                          <w:sz w:val="16"/>
                          <w:szCs w:val="16"/>
                        </w:rPr>
                        <w:t xml:space="preserve">. ORCID: </w:t>
                      </w:r>
                      <w:r w:rsidR="00FE4164" w:rsidRPr="00FE4164">
                        <w:rPr>
                          <w:rFonts w:ascii="Arial" w:hAnsi="Arial" w:cs="Arial"/>
                          <w:b/>
                          <w:color w:val="FFFFFF" w:themeColor="background1"/>
                          <w:sz w:val="16"/>
                          <w:szCs w:val="16"/>
                        </w:rPr>
                        <w:t>https://orcid.org/0009-0008-9080-1069</w:t>
                      </w:r>
                    </w:p>
                    <w:p w14:paraId="22E83242" w14:textId="66C455D2" w:rsidR="00AC38A8" w:rsidRPr="00787B27" w:rsidRDefault="00AC38A8" w:rsidP="00AE3EE8">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 xml:space="preserve">3 </w:t>
                      </w:r>
                      <w:r w:rsidR="00FE4164">
                        <w:rPr>
                          <w:rFonts w:ascii="Arial" w:hAnsi="Arial" w:cs="Arial"/>
                          <w:b/>
                          <w:color w:val="FFFFFF" w:themeColor="background1"/>
                          <w:sz w:val="16"/>
                          <w:szCs w:val="16"/>
                        </w:rPr>
                        <w:t>Mestra em Medicamentos e Assistência Farmacêutica pela Universidade Federal de Minas Gerais</w:t>
                      </w:r>
                      <w:r w:rsidRPr="00787B27">
                        <w:rPr>
                          <w:rFonts w:ascii="Arial" w:hAnsi="Arial" w:cs="Arial"/>
                          <w:b/>
                          <w:color w:val="FFFFFF" w:themeColor="background1"/>
                          <w:sz w:val="16"/>
                          <w:szCs w:val="16"/>
                        </w:rPr>
                        <w:t>.</w:t>
                      </w:r>
                      <w:r w:rsidR="00FE4164">
                        <w:rPr>
                          <w:rFonts w:ascii="Arial" w:hAnsi="Arial" w:cs="Arial"/>
                          <w:b/>
                          <w:color w:val="FFFFFF" w:themeColor="background1"/>
                          <w:sz w:val="16"/>
                          <w:szCs w:val="16"/>
                        </w:rPr>
                        <w:t xml:space="preserve"> E-mail: ursulac.martins</w:t>
                      </w:r>
                      <w:r w:rsidR="00FE4164" w:rsidRPr="00FE4164">
                        <w:rPr>
                          <w:rFonts w:ascii="Arial" w:hAnsi="Arial" w:cs="Arial"/>
                          <w:b/>
                          <w:color w:val="FFFFFF" w:themeColor="background1"/>
                          <w:sz w:val="16"/>
                          <w:szCs w:val="16"/>
                        </w:rPr>
                        <w:t>@gmail.com</w:t>
                      </w:r>
                      <w:r w:rsidR="00FE4164">
                        <w:rPr>
                          <w:rFonts w:ascii="Arial" w:hAnsi="Arial" w:cs="Arial"/>
                          <w:b/>
                          <w:color w:val="FFFFFF" w:themeColor="background1"/>
                          <w:sz w:val="16"/>
                          <w:szCs w:val="16"/>
                        </w:rPr>
                        <w:t>. ORCID:</w:t>
                      </w:r>
                      <w:r w:rsidRPr="00787B27">
                        <w:rPr>
                          <w:rFonts w:ascii="Arial" w:hAnsi="Arial" w:cs="Arial"/>
                          <w:b/>
                          <w:color w:val="FFFFFF" w:themeColor="background1"/>
                          <w:sz w:val="16"/>
                          <w:szCs w:val="16"/>
                        </w:rPr>
                        <w:t xml:space="preserve"> </w:t>
                      </w:r>
                      <w:r w:rsidR="00FE4164" w:rsidRPr="00FE4164">
                        <w:rPr>
                          <w:rFonts w:ascii="Arial" w:hAnsi="Arial" w:cs="Arial"/>
                          <w:b/>
                          <w:color w:val="FFFFFF" w:themeColor="background1"/>
                          <w:sz w:val="16"/>
                          <w:szCs w:val="16"/>
                        </w:rPr>
                        <w:t>https://orcid.org/0000-0001-8616-7351</w:t>
                      </w:r>
                    </w:p>
                    <w:p w14:paraId="40DCCE1E" w14:textId="3941967F" w:rsidR="00AC38A8" w:rsidRPr="00787B27" w:rsidRDefault="00AC38A8" w:rsidP="00AE3EE8">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4</w:t>
                      </w:r>
                      <w:r w:rsidRPr="00787B27">
                        <w:rPr>
                          <w:rFonts w:ascii="Arial" w:hAnsi="Arial" w:cs="Arial"/>
                          <w:b/>
                          <w:color w:val="FFFFFF" w:themeColor="background1"/>
                          <w:sz w:val="16"/>
                          <w:szCs w:val="16"/>
                        </w:rPr>
                        <w:t xml:space="preserve"> </w:t>
                      </w:r>
                      <w:r w:rsidR="00FE4164">
                        <w:rPr>
                          <w:rFonts w:ascii="Arial" w:hAnsi="Arial" w:cs="Arial"/>
                          <w:b/>
                          <w:color w:val="FFFFFF" w:themeColor="background1"/>
                          <w:sz w:val="16"/>
                          <w:szCs w:val="16"/>
                        </w:rPr>
                        <w:t>Do</w:t>
                      </w:r>
                      <w:r w:rsidR="00376937">
                        <w:rPr>
                          <w:rFonts w:ascii="Arial" w:hAnsi="Arial" w:cs="Arial"/>
                          <w:b/>
                          <w:color w:val="FFFFFF" w:themeColor="background1"/>
                          <w:sz w:val="16"/>
                          <w:szCs w:val="16"/>
                        </w:rPr>
                        <w:t>u</w:t>
                      </w:r>
                      <w:r w:rsidR="00FE4164">
                        <w:rPr>
                          <w:rFonts w:ascii="Arial" w:hAnsi="Arial" w:cs="Arial"/>
                          <w:b/>
                          <w:color w:val="FFFFFF" w:themeColor="background1"/>
                          <w:sz w:val="16"/>
                          <w:szCs w:val="16"/>
                        </w:rPr>
                        <w:t>tor em Saúde Pública pela Universidade Federal de Minas Gerais</w:t>
                      </w:r>
                      <w:r w:rsidR="00FE4164" w:rsidRPr="00787B27">
                        <w:rPr>
                          <w:rFonts w:ascii="Arial" w:hAnsi="Arial" w:cs="Arial"/>
                          <w:b/>
                          <w:color w:val="FFFFFF" w:themeColor="background1"/>
                          <w:sz w:val="16"/>
                          <w:szCs w:val="16"/>
                        </w:rPr>
                        <w:t>.</w:t>
                      </w:r>
                      <w:r w:rsidR="00FE4164">
                        <w:rPr>
                          <w:rFonts w:ascii="Arial" w:hAnsi="Arial" w:cs="Arial"/>
                          <w:b/>
                          <w:color w:val="FFFFFF" w:themeColor="background1"/>
                          <w:sz w:val="16"/>
                          <w:szCs w:val="16"/>
                        </w:rPr>
                        <w:t xml:space="preserve"> E-mail: </w:t>
                      </w:r>
                      <w:r w:rsidR="00FE4164" w:rsidRPr="00FE4164">
                        <w:rPr>
                          <w:rFonts w:ascii="Arial" w:hAnsi="Arial" w:cs="Arial"/>
                          <w:b/>
                          <w:color w:val="FFFFFF" w:themeColor="background1"/>
                          <w:sz w:val="16"/>
                          <w:szCs w:val="16"/>
                        </w:rPr>
                        <w:t>augustoguerramg@gmail.com</w:t>
                      </w:r>
                      <w:r w:rsidR="00FE4164">
                        <w:rPr>
                          <w:rFonts w:ascii="Arial" w:hAnsi="Arial" w:cs="Arial"/>
                          <w:b/>
                          <w:color w:val="FFFFFF" w:themeColor="background1"/>
                          <w:sz w:val="16"/>
                          <w:szCs w:val="16"/>
                        </w:rPr>
                        <w:t>. ORCID:</w:t>
                      </w:r>
                      <w:r w:rsidR="00FE4164" w:rsidRPr="00787B27">
                        <w:rPr>
                          <w:rFonts w:ascii="Arial" w:hAnsi="Arial" w:cs="Arial"/>
                          <w:b/>
                          <w:color w:val="FFFFFF" w:themeColor="background1"/>
                          <w:sz w:val="16"/>
                          <w:szCs w:val="16"/>
                        </w:rPr>
                        <w:t xml:space="preserve"> </w:t>
                      </w:r>
                      <w:r w:rsidR="00FE4164" w:rsidRPr="00FE4164">
                        <w:rPr>
                          <w:rFonts w:ascii="Arial" w:hAnsi="Arial" w:cs="Arial"/>
                          <w:b/>
                          <w:color w:val="FFFFFF" w:themeColor="background1"/>
                          <w:sz w:val="16"/>
                          <w:szCs w:val="16"/>
                        </w:rPr>
                        <w:t>https://orcid.org/0000-0001-5256-0577</w:t>
                      </w:r>
                    </w:p>
                    <w:p w14:paraId="71DC1AF4" w14:textId="778E9110" w:rsidR="00AC38A8" w:rsidRDefault="00AC38A8" w:rsidP="00AE3EE8">
                      <w:pPr>
                        <w:spacing w:after="240"/>
                        <w:ind w:left="-284" w:right="-352"/>
                        <w:rPr>
                          <w:rFonts w:ascii="Arial" w:hAnsi="Arial" w:cs="Arial"/>
                          <w:b/>
                          <w:color w:val="FFFFFF" w:themeColor="background1"/>
                          <w:sz w:val="16"/>
                          <w:szCs w:val="16"/>
                        </w:rPr>
                      </w:pPr>
                      <w:r w:rsidRPr="00787B27">
                        <w:rPr>
                          <w:rFonts w:ascii="Arial" w:hAnsi="Arial" w:cs="Arial"/>
                          <w:b/>
                          <w:color w:val="FFFFFF" w:themeColor="background1"/>
                          <w:sz w:val="16"/>
                          <w:szCs w:val="16"/>
                          <w:vertAlign w:val="superscript"/>
                        </w:rPr>
                        <w:t>5</w:t>
                      </w:r>
                      <w:r w:rsidRPr="00787B27">
                        <w:rPr>
                          <w:rFonts w:ascii="Arial" w:hAnsi="Arial" w:cs="Arial"/>
                          <w:b/>
                          <w:color w:val="FFFFFF" w:themeColor="background1"/>
                          <w:sz w:val="16"/>
                          <w:szCs w:val="16"/>
                        </w:rPr>
                        <w:t xml:space="preserve"> </w:t>
                      </w:r>
                      <w:r w:rsidR="00FE4164">
                        <w:rPr>
                          <w:rFonts w:ascii="Arial" w:hAnsi="Arial" w:cs="Arial"/>
                          <w:b/>
                          <w:color w:val="FFFFFF" w:themeColor="background1"/>
                          <w:sz w:val="16"/>
                          <w:szCs w:val="16"/>
                        </w:rPr>
                        <w:t>Doutor em Clínica Médica pela Universidade Federal de Minas Gerais</w:t>
                      </w:r>
                      <w:r w:rsidRPr="00787B27">
                        <w:rPr>
                          <w:rFonts w:ascii="Arial" w:hAnsi="Arial" w:cs="Arial"/>
                          <w:b/>
                          <w:color w:val="FFFFFF" w:themeColor="background1"/>
                          <w:sz w:val="16"/>
                          <w:szCs w:val="16"/>
                        </w:rPr>
                        <w:t>.</w:t>
                      </w:r>
                      <w:r w:rsidR="00FE4164">
                        <w:rPr>
                          <w:rFonts w:ascii="Arial" w:hAnsi="Arial" w:cs="Arial"/>
                          <w:b/>
                          <w:color w:val="FFFFFF" w:themeColor="background1"/>
                          <w:sz w:val="16"/>
                          <w:szCs w:val="16"/>
                        </w:rPr>
                        <w:t xml:space="preserve"> E-mail: </w:t>
                      </w:r>
                      <w:r w:rsidR="00FE4164" w:rsidRPr="00FE4164">
                        <w:rPr>
                          <w:rFonts w:ascii="Arial" w:hAnsi="Arial" w:cs="Arial"/>
                          <w:b/>
                          <w:color w:val="FFFFFF" w:themeColor="background1"/>
                          <w:sz w:val="16"/>
                          <w:szCs w:val="16"/>
                        </w:rPr>
                        <w:t>fracurcio@gmail.com</w:t>
                      </w:r>
                      <w:r w:rsidR="00FE4164">
                        <w:rPr>
                          <w:rFonts w:ascii="Arial" w:hAnsi="Arial" w:cs="Arial"/>
                          <w:b/>
                          <w:color w:val="FFFFFF" w:themeColor="background1"/>
                          <w:sz w:val="16"/>
                          <w:szCs w:val="16"/>
                        </w:rPr>
                        <w:t xml:space="preserve">. ORCID: </w:t>
                      </w:r>
                      <w:r w:rsidR="00376937" w:rsidRPr="00376937">
                        <w:rPr>
                          <w:rFonts w:ascii="Arial" w:hAnsi="Arial" w:cs="Arial"/>
                          <w:b/>
                          <w:color w:val="FFFFFF" w:themeColor="background1"/>
                          <w:sz w:val="16"/>
                          <w:szCs w:val="16"/>
                        </w:rPr>
                        <w:t>https://orcid.org/0000-0001-96518485</w:t>
                      </w:r>
                    </w:p>
                    <w:p w14:paraId="59252E40" w14:textId="02B5B4C6" w:rsidR="00376937" w:rsidRDefault="00376937" w:rsidP="00AE3EE8">
                      <w:pPr>
                        <w:spacing w:after="240"/>
                        <w:ind w:left="-284" w:right="-352"/>
                        <w:rPr>
                          <w:rFonts w:ascii="Arial" w:hAnsi="Arial" w:cs="Arial"/>
                          <w:b/>
                          <w:color w:val="FFFFFF" w:themeColor="background1"/>
                          <w:sz w:val="16"/>
                          <w:szCs w:val="16"/>
                        </w:rPr>
                      </w:pPr>
                      <w:r w:rsidRPr="00376937">
                        <w:rPr>
                          <w:rFonts w:ascii="Arial" w:hAnsi="Arial" w:cs="Arial"/>
                          <w:b/>
                          <w:color w:val="FFFFFF" w:themeColor="background1"/>
                          <w:sz w:val="16"/>
                          <w:szCs w:val="16"/>
                          <w:vertAlign w:val="superscript"/>
                        </w:rPr>
                        <w:t>6</w:t>
                      </w:r>
                      <w:r>
                        <w:rPr>
                          <w:rFonts w:ascii="Arial" w:hAnsi="Arial" w:cs="Arial"/>
                          <w:b/>
                          <w:color w:val="FFFFFF" w:themeColor="background1"/>
                          <w:sz w:val="16"/>
                          <w:szCs w:val="16"/>
                          <w:vertAlign w:val="superscript"/>
                        </w:rPr>
                        <w:t xml:space="preserve"> </w:t>
                      </w:r>
                      <w:r>
                        <w:rPr>
                          <w:rFonts w:ascii="Arial" w:hAnsi="Arial" w:cs="Arial"/>
                          <w:b/>
                          <w:color w:val="FFFFFF" w:themeColor="background1"/>
                          <w:sz w:val="16"/>
                          <w:szCs w:val="16"/>
                        </w:rPr>
                        <w:t xml:space="preserve"> Doutora em Saúde Pública pela Universidade Federal de Minas Gerais. E-mail: </w:t>
                      </w:r>
                      <w:r w:rsidRPr="00376937">
                        <w:rPr>
                          <w:rFonts w:ascii="Arial" w:hAnsi="Arial" w:cs="Arial"/>
                          <w:b/>
                          <w:color w:val="FFFFFF" w:themeColor="background1"/>
                          <w:sz w:val="16"/>
                          <w:szCs w:val="16"/>
                        </w:rPr>
                        <w:t>jualvares@gmail.com</w:t>
                      </w:r>
                      <w:r>
                        <w:rPr>
                          <w:rFonts w:ascii="Arial" w:hAnsi="Arial" w:cs="Arial"/>
                          <w:b/>
                          <w:color w:val="FFFFFF" w:themeColor="background1"/>
                          <w:sz w:val="16"/>
                          <w:szCs w:val="16"/>
                        </w:rPr>
                        <w:t xml:space="preserve">. ORCID: </w:t>
                      </w:r>
                      <w:r w:rsidRPr="00376937">
                        <w:rPr>
                          <w:rFonts w:ascii="Arial" w:hAnsi="Arial" w:cs="Arial"/>
                          <w:b/>
                          <w:color w:val="FFFFFF" w:themeColor="background1"/>
                          <w:sz w:val="16"/>
                          <w:szCs w:val="16"/>
                        </w:rPr>
                        <w:t>https://orcid.org/0000-0002-5880-5261</w:t>
                      </w:r>
                    </w:p>
                    <w:p w14:paraId="7A68DA10" w14:textId="77777777" w:rsidR="00376937" w:rsidRPr="00376937" w:rsidRDefault="00376937" w:rsidP="00376937">
                      <w:pPr>
                        <w:spacing w:after="240"/>
                        <w:ind w:left="-284" w:right="-352"/>
                        <w:rPr>
                          <w:rFonts w:ascii="Arial" w:hAnsi="Arial" w:cs="Arial"/>
                          <w:color w:val="FFFFFF" w:themeColor="background1"/>
                          <w:sz w:val="16"/>
                          <w:szCs w:val="16"/>
                        </w:rPr>
                      </w:pPr>
                      <w:r w:rsidRPr="00376937">
                        <w:rPr>
                          <w:rFonts w:ascii="Arial" w:hAnsi="Arial" w:cs="Arial"/>
                          <w:b/>
                          <w:color w:val="FFFFFF" w:themeColor="background1"/>
                          <w:sz w:val="16"/>
                          <w:szCs w:val="16"/>
                          <w:vertAlign w:val="superscript"/>
                        </w:rPr>
                        <w:t>7</w:t>
                      </w:r>
                      <w:r>
                        <w:rPr>
                          <w:rFonts w:ascii="Arial" w:hAnsi="Arial" w:cs="Arial"/>
                          <w:b/>
                          <w:color w:val="FFFFFF" w:themeColor="background1"/>
                          <w:sz w:val="16"/>
                          <w:szCs w:val="16"/>
                          <w:vertAlign w:val="superscript"/>
                        </w:rPr>
                        <w:t xml:space="preserve">  </w:t>
                      </w:r>
                      <w:r w:rsidRPr="00376937">
                        <w:rPr>
                          <w:rFonts w:ascii="Arial" w:hAnsi="Arial" w:cs="Arial"/>
                          <w:b/>
                          <w:color w:val="FFFFFF" w:themeColor="background1"/>
                          <w:sz w:val="16"/>
                          <w:szCs w:val="16"/>
                        </w:rPr>
                        <w:t>Doutor</w:t>
                      </w:r>
                      <w:r>
                        <w:rPr>
                          <w:rFonts w:ascii="Arial" w:hAnsi="Arial" w:cs="Arial"/>
                          <w:b/>
                          <w:color w:val="FFFFFF" w:themeColor="background1"/>
                          <w:sz w:val="16"/>
                          <w:szCs w:val="16"/>
                        </w:rPr>
                        <w:t xml:space="preserve"> em Ciência Animal pela Universidade Federal de Minas Gerais. E-mail: </w:t>
                      </w:r>
                      <w:r w:rsidRPr="00376937">
                        <w:rPr>
                          <w:rFonts w:ascii="Arial" w:hAnsi="Arial" w:cs="Arial"/>
                          <w:b/>
                          <w:color w:val="FFFFFF" w:themeColor="background1"/>
                          <w:sz w:val="16"/>
                          <w:szCs w:val="16"/>
                        </w:rPr>
                        <w:t>fracurcio@gmail.com</w:t>
                      </w:r>
                      <w:r>
                        <w:rPr>
                          <w:rFonts w:ascii="Arial" w:hAnsi="Arial" w:cs="Arial"/>
                          <w:b/>
                          <w:color w:val="FFFFFF" w:themeColor="background1"/>
                          <w:sz w:val="16"/>
                          <w:szCs w:val="16"/>
                        </w:rPr>
                        <w:t xml:space="preserve">. ORCID: </w:t>
                      </w:r>
                      <w:r w:rsidRPr="00376937">
                        <w:rPr>
                          <w:rFonts w:ascii="Arial" w:hAnsi="Arial" w:cs="Arial"/>
                          <w:b/>
                          <w:color w:val="FFFFFF" w:themeColor="background1"/>
                          <w:sz w:val="16"/>
                          <w:szCs w:val="16"/>
                        </w:rPr>
                        <w:t xml:space="preserve"> </w:t>
                      </w:r>
                      <w:r w:rsidRPr="00376937">
                        <w:rPr>
                          <w:rFonts w:ascii="Arial" w:hAnsi="Arial" w:cs="Arial"/>
                          <w:b/>
                          <w:bCs/>
                          <w:color w:val="FFFFFF" w:themeColor="background1"/>
                          <w:sz w:val="16"/>
                          <w:szCs w:val="16"/>
                        </w:rPr>
                        <w:t>https://orcid.org/0000-0002-5880-5261</w:t>
                      </w:r>
                    </w:p>
                    <w:p w14:paraId="45BD4D7E" w14:textId="238281EA" w:rsidR="00376937" w:rsidRPr="00376937" w:rsidRDefault="00376937" w:rsidP="00AE3EE8">
                      <w:pPr>
                        <w:spacing w:after="240"/>
                        <w:ind w:left="-284" w:right="-352"/>
                        <w:rPr>
                          <w:rFonts w:ascii="Arial" w:hAnsi="Arial" w:cs="Arial"/>
                          <w:b/>
                          <w:color w:val="FFFFFF" w:themeColor="background1"/>
                          <w:sz w:val="16"/>
                          <w:szCs w:val="16"/>
                        </w:rPr>
                      </w:pPr>
                    </w:p>
                    <w:p w14:paraId="6BC5FF13" w14:textId="77777777" w:rsidR="00376937" w:rsidRDefault="00376937" w:rsidP="00AE3EE8">
                      <w:pPr>
                        <w:spacing w:after="240"/>
                        <w:ind w:left="-284" w:right="-352"/>
                        <w:rPr>
                          <w:rFonts w:ascii="Arial" w:hAnsi="Arial" w:cs="Arial"/>
                          <w:b/>
                          <w:color w:val="FFFFFF" w:themeColor="background1"/>
                          <w:sz w:val="16"/>
                          <w:szCs w:val="16"/>
                        </w:rPr>
                      </w:pPr>
                    </w:p>
                    <w:p w14:paraId="2402FC7A" w14:textId="77777777" w:rsidR="004C0033" w:rsidRDefault="004C0033" w:rsidP="00AE3EE8">
                      <w:pPr>
                        <w:spacing w:after="240"/>
                        <w:ind w:left="-284" w:right="-352"/>
                        <w:rPr>
                          <w:rFonts w:ascii="Arial" w:hAnsi="Arial" w:cs="Arial"/>
                          <w:b/>
                          <w:color w:val="FFFFFF" w:themeColor="background1"/>
                          <w:sz w:val="16"/>
                          <w:szCs w:val="16"/>
                        </w:rPr>
                      </w:pPr>
                    </w:p>
                    <w:p w14:paraId="0F17D782" w14:textId="77777777" w:rsidR="00734797" w:rsidRDefault="00734797" w:rsidP="005628FE">
                      <w:pPr>
                        <w:spacing w:after="240"/>
                        <w:ind w:left="-284" w:right="-352"/>
                        <w:jc w:val="both"/>
                        <w:rPr>
                          <w:rFonts w:ascii="Arial" w:hAnsi="Arial" w:cs="Arial"/>
                          <w:b/>
                          <w:color w:val="FFFFFF" w:themeColor="background1"/>
                          <w:sz w:val="16"/>
                          <w:szCs w:val="16"/>
                        </w:rPr>
                      </w:pPr>
                    </w:p>
                  </w:txbxContent>
                </v:textbox>
                <w10:wrap type="square" anchorx="margin" anchory="margin"/>
              </v:roundrect>
            </w:pict>
          </mc:Fallback>
        </mc:AlternateContent>
      </w:r>
      <w:r>
        <w:rPr>
          <w:rFonts w:ascii="Arial" w:hAnsi="Arial" w:cs="Arial"/>
          <w:noProof/>
        </w:rPr>
        <mc:AlternateContent>
          <mc:Choice Requires="wps">
            <w:drawing>
              <wp:inline distT="0" distB="0" distL="0" distR="0" wp14:anchorId="643F9AE0" wp14:editId="35142CB3">
                <wp:extent cx="5132070" cy="762000"/>
                <wp:effectExtent l="38100" t="38100" r="0" b="0"/>
                <wp:docPr id="8"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2070" cy="762000"/>
                        </a:xfrm>
                        <a:prstGeom prst="roundRect">
                          <a:avLst>
                            <a:gd name="adj" fmla="val 10861"/>
                          </a:avLst>
                        </a:prstGeom>
                        <a:solidFill>
                          <a:srgbClr val="FFFFFF"/>
                        </a:solidFill>
                        <a:ln>
                          <a:noFill/>
                        </a:ln>
                        <a:effectLst>
                          <a:outerShdw dist="53882" dir="13500000" sx="89999" sy="89999" algn="tl" rotWithShape="0">
                            <a:srgbClr val="4F81BD"/>
                          </a:outerShdw>
                        </a:effectLst>
                        <a:extLst>
                          <a:ext uri="{91240B29-F687-4F45-9708-019B960494DF}">
                            <a14:hiddenLine xmlns:a14="http://schemas.microsoft.com/office/drawing/2010/main" w="9525">
                              <a:solidFill>
                                <a:srgbClr val="000000"/>
                              </a:solidFill>
                              <a:round/>
                              <a:headEnd/>
                              <a:tailEnd/>
                            </a14:hiddenLine>
                          </a:ext>
                        </a:extLst>
                      </wps:spPr>
                      <wps:txbx>
                        <w:txbxContent>
                          <w:p w14:paraId="171FA716" w14:textId="51707B5A" w:rsidR="00164E46" w:rsidRPr="00DC6000" w:rsidRDefault="00DC6000" w:rsidP="00164E46">
                            <w:pPr>
                              <w:jc w:val="both"/>
                              <w:rPr>
                                <w:rFonts w:ascii="Arial" w:hAnsi="Arial" w:cs="Arial"/>
                                <w:color w:val="1F497D" w:themeColor="text2"/>
                                <w:sz w:val="20"/>
                                <w:szCs w:val="20"/>
                              </w:rPr>
                            </w:pPr>
                            <w:r>
                              <w:rPr>
                                <w:rFonts w:ascii="Arial" w:hAnsi="Arial" w:cs="Arial"/>
                                <w:color w:val="1F497D" w:themeColor="text2"/>
                                <w:sz w:val="20"/>
                                <w:szCs w:val="20"/>
                              </w:rPr>
                              <w:t>Humberto Batista Ferreira</w:t>
                            </w:r>
                            <w:r w:rsidR="00164E46" w:rsidRPr="005E04A7">
                              <w:rPr>
                                <w:rFonts w:ascii="Arial" w:hAnsi="Arial" w:cs="Arial"/>
                                <w:color w:val="1F497D" w:themeColor="text2"/>
                                <w:sz w:val="20"/>
                                <w:szCs w:val="20"/>
                                <w:vertAlign w:val="superscript"/>
                              </w:rPr>
                              <w:t>1</w:t>
                            </w:r>
                            <w:r w:rsidR="00164E46" w:rsidRPr="005E04A7">
                              <w:rPr>
                                <w:rFonts w:ascii="Arial" w:hAnsi="Arial" w:cs="Arial"/>
                                <w:color w:val="1F497D" w:themeColor="text2"/>
                                <w:sz w:val="20"/>
                                <w:szCs w:val="20"/>
                              </w:rPr>
                              <w:t xml:space="preserve">, </w:t>
                            </w:r>
                            <w:r>
                              <w:rPr>
                                <w:rFonts w:ascii="Arial" w:hAnsi="Arial" w:cs="Arial"/>
                                <w:color w:val="1F497D" w:themeColor="text2"/>
                                <w:sz w:val="20"/>
                                <w:szCs w:val="20"/>
                              </w:rPr>
                              <w:t>Raphael de Magalhães Cipriano</w:t>
                            </w:r>
                            <w:r w:rsidR="00164E46" w:rsidRPr="005E04A7">
                              <w:rPr>
                                <w:rFonts w:ascii="Arial" w:hAnsi="Arial" w:cs="Arial"/>
                                <w:color w:val="1F497D" w:themeColor="text2"/>
                                <w:sz w:val="20"/>
                                <w:szCs w:val="20"/>
                                <w:vertAlign w:val="superscript"/>
                              </w:rPr>
                              <w:t>2</w:t>
                            </w:r>
                            <w:r w:rsidR="00164E46" w:rsidRPr="005E04A7">
                              <w:rPr>
                                <w:rFonts w:ascii="Arial" w:hAnsi="Arial" w:cs="Arial"/>
                                <w:color w:val="1F497D" w:themeColor="text2"/>
                                <w:sz w:val="20"/>
                                <w:szCs w:val="20"/>
                              </w:rPr>
                              <w:t>,</w:t>
                            </w:r>
                            <w:r>
                              <w:rPr>
                                <w:rFonts w:ascii="Arial" w:hAnsi="Arial" w:cs="Arial"/>
                                <w:color w:val="1F497D" w:themeColor="text2"/>
                                <w:sz w:val="20"/>
                                <w:szCs w:val="20"/>
                              </w:rPr>
                              <w:t xml:space="preserve"> Ursula Carolina de Morais Martins</w:t>
                            </w:r>
                            <w:r w:rsidR="00164E46" w:rsidRPr="005E04A7">
                              <w:rPr>
                                <w:rFonts w:ascii="Arial" w:hAnsi="Arial" w:cs="Arial"/>
                                <w:color w:val="1F497D" w:themeColor="text2"/>
                                <w:sz w:val="20"/>
                                <w:szCs w:val="20"/>
                                <w:vertAlign w:val="superscript"/>
                              </w:rPr>
                              <w:t>3</w:t>
                            </w:r>
                            <w:r w:rsidR="00164E46" w:rsidRPr="005E04A7">
                              <w:rPr>
                                <w:rFonts w:ascii="Arial" w:hAnsi="Arial" w:cs="Arial"/>
                                <w:color w:val="1F497D" w:themeColor="text2"/>
                                <w:sz w:val="20"/>
                                <w:szCs w:val="20"/>
                              </w:rPr>
                              <w:t xml:space="preserve">, </w:t>
                            </w:r>
                            <w:r>
                              <w:rPr>
                                <w:rFonts w:ascii="Arial" w:hAnsi="Arial" w:cs="Arial"/>
                                <w:color w:val="1F497D" w:themeColor="text2"/>
                                <w:sz w:val="20"/>
                                <w:szCs w:val="20"/>
                              </w:rPr>
                              <w:t>Augusto Afonso Guerra</w:t>
                            </w:r>
                            <w:r w:rsidR="00164E46" w:rsidRPr="005E04A7">
                              <w:rPr>
                                <w:rFonts w:ascii="Arial" w:hAnsi="Arial" w:cs="Arial"/>
                                <w:color w:val="1F497D" w:themeColor="text2"/>
                                <w:sz w:val="20"/>
                                <w:szCs w:val="20"/>
                                <w:vertAlign w:val="superscript"/>
                              </w:rPr>
                              <w:t>4</w:t>
                            </w:r>
                            <w:r w:rsidR="00164E46">
                              <w:rPr>
                                <w:rFonts w:ascii="Arial" w:hAnsi="Arial" w:cs="Arial"/>
                                <w:color w:val="1F497D" w:themeColor="text2"/>
                                <w:sz w:val="20"/>
                                <w:szCs w:val="20"/>
                              </w:rPr>
                              <w:t>,</w:t>
                            </w:r>
                            <w:r>
                              <w:rPr>
                                <w:rFonts w:ascii="Arial" w:hAnsi="Arial" w:cs="Arial"/>
                                <w:color w:val="1F497D" w:themeColor="text2"/>
                                <w:sz w:val="20"/>
                                <w:szCs w:val="20"/>
                              </w:rPr>
                              <w:t xml:space="preserve"> Leonardo Maurício Diniz</w:t>
                            </w:r>
                            <w:r w:rsidRPr="00DC6000">
                              <w:rPr>
                                <w:rFonts w:ascii="Arial" w:hAnsi="Arial" w:cs="Arial"/>
                                <w:color w:val="1F497D" w:themeColor="text2"/>
                                <w:sz w:val="20"/>
                                <w:szCs w:val="20"/>
                                <w:vertAlign w:val="superscript"/>
                              </w:rPr>
                              <w:t>5</w:t>
                            </w:r>
                            <w:r>
                              <w:rPr>
                                <w:rFonts w:ascii="Arial" w:hAnsi="Arial" w:cs="Arial"/>
                                <w:color w:val="1F497D" w:themeColor="text2"/>
                                <w:sz w:val="20"/>
                                <w:szCs w:val="20"/>
                              </w:rPr>
                              <w:t>, Juliana Álvares Teodoro</w:t>
                            </w:r>
                            <w:r w:rsidRPr="00DC6000">
                              <w:rPr>
                                <w:rFonts w:ascii="Arial" w:hAnsi="Arial" w:cs="Arial"/>
                                <w:color w:val="1F497D" w:themeColor="text2"/>
                                <w:sz w:val="20"/>
                                <w:szCs w:val="20"/>
                                <w:vertAlign w:val="superscript"/>
                              </w:rPr>
                              <w:t>6</w:t>
                            </w:r>
                            <w:r>
                              <w:rPr>
                                <w:rFonts w:ascii="Arial" w:hAnsi="Arial" w:cs="Arial"/>
                                <w:color w:val="1F497D" w:themeColor="text2"/>
                                <w:sz w:val="20"/>
                                <w:szCs w:val="20"/>
                              </w:rPr>
                              <w:t>, Francisco de Assis Acúrcio</w:t>
                            </w:r>
                            <w:r w:rsidRPr="00DC6000">
                              <w:rPr>
                                <w:rFonts w:ascii="Arial" w:hAnsi="Arial" w:cs="Arial"/>
                                <w:color w:val="1F497D" w:themeColor="text2"/>
                                <w:sz w:val="20"/>
                                <w:szCs w:val="20"/>
                                <w:vertAlign w:val="superscript"/>
                              </w:rPr>
                              <w:t>7</w:t>
                            </w:r>
                          </w:p>
                          <w:p w14:paraId="6F8E8805" w14:textId="74776283" w:rsidR="004C0033" w:rsidRPr="00E81BAC" w:rsidRDefault="004C0033" w:rsidP="00E81BAC">
                            <w:pPr>
                              <w:spacing w:after="240"/>
                              <w:ind w:left="-284" w:right="-352"/>
                              <w:rPr>
                                <w:rFonts w:ascii="Arial" w:hAnsi="Arial" w:cs="Arial"/>
                                <w:b/>
                                <w:color w:val="FFFFFF" w:themeColor="background1"/>
                                <w:sz w:val="4"/>
                                <w:szCs w:val="16"/>
                              </w:rPr>
                            </w:pPr>
                            <w:r w:rsidRPr="004C0033">
                              <w:rPr>
                                <w:sz w:val="10"/>
                                <w:szCs w:val="22"/>
                                <w:highlight w:val="yellow"/>
                              </w:rPr>
                              <w:t>(</w:t>
                            </w:r>
                            <w:r w:rsidRPr="004C0033">
                              <w:rPr>
                                <w:rFonts w:ascii="Segoe UI" w:hAnsi="Segoe UI" w:cs="Segoe UI"/>
                                <w:sz w:val="12"/>
                                <w:szCs w:val="20"/>
                                <w:highlight w:val="yellow"/>
                                <w:shd w:val="clear" w:color="auto" w:fill="FFFFFF"/>
                              </w:rPr>
                              <w:t>A</w:t>
                            </w:r>
                          </w:p>
                        </w:txbxContent>
                      </wps:txbx>
                      <wps:bodyPr rot="0" vert="horz" wrap="square" lIns="91440" tIns="45720" rIns="457200" bIns="228600" anchor="t" anchorCtr="0" upright="1">
                        <a:noAutofit/>
                      </wps:bodyPr>
                    </wps:wsp>
                  </a:graphicData>
                </a:graphic>
              </wp:inline>
            </w:drawing>
          </mc:Choice>
          <mc:Fallback>
            <w:pict>
              <v:roundrect w14:anchorId="643F9AE0" id="AutoForma 2" o:spid="_x0000_s1027" style="width:404.1pt;height:60pt;visibility:visible;mso-wrap-style:square;mso-left-percent:-10001;mso-top-percent:-10001;mso-position-horizontal:absolute;mso-position-horizontal-relative:char;mso-position-vertical:absolute;mso-position-vertical-relative:line;mso-left-percent:-10001;mso-top-percent:-10001;v-text-anchor:top" arcsize="71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" stroked="f">
                <v:shadow on="t" type="perspective" color="#4f81bd" origin="-.5,-.5" offset="-3pt,-3pt" matrix="58982f,,,58982f"/>
                <v:textbox inset=",,36pt,18pt">
                  <w:txbxContent>
                    <w:p w14:paraId="171FA716" w14:textId="51707B5A" w:rsidR="00164E46" w:rsidRPr="00DC6000" w:rsidRDefault="00DC6000" w:rsidP="00164E46">
                      <w:pPr>
                        <w:jc w:val="both"/>
                        <w:rPr>
                          <w:rFonts w:ascii="Arial" w:hAnsi="Arial" w:cs="Arial"/>
                          <w:color w:val="1F497D" w:themeColor="text2"/>
                          <w:sz w:val="20"/>
                          <w:szCs w:val="20"/>
                        </w:rPr>
                      </w:pPr>
                      <w:r>
                        <w:rPr>
                          <w:rFonts w:ascii="Arial" w:hAnsi="Arial" w:cs="Arial"/>
                          <w:color w:val="1F497D" w:themeColor="text2"/>
                          <w:sz w:val="20"/>
                          <w:szCs w:val="20"/>
                        </w:rPr>
                        <w:t>Humberto Batista Ferreira</w:t>
                      </w:r>
                      <w:r w:rsidR="00164E46" w:rsidRPr="005E04A7">
                        <w:rPr>
                          <w:rFonts w:ascii="Arial" w:hAnsi="Arial" w:cs="Arial"/>
                          <w:color w:val="1F497D" w:themeColor="text2"/>
                          <w:sz w:val="20"/>
                          <w:szCs w:val="20"/>
                          <w:vertAlign w:val="superscript"/>
                        </w:rPr>
                        <w:t>1</w:t>
                      </w:r>
                      <w:r w:rsidR="00164E46" w:rsidRPr="005E04A7">
                        <w:rPr>
                          <w:rFonts w:ascii="Arial" w:hAnsi="Arial" w:cs="Arial"/>
                          <w:color w:val="1F497D" w:themeColor="text2"/>
                          <w:sz w:val="20"/>
                          <w:szCs w:val="20"/>
                        </w:rPr>
                        <w:t xml:space="preserve">, </w:t>
                      </w:r>
                      <w:r>
                        <w:rPr>
                          <w:rFonts w:ascii="Arial" w:hAnsi="Arial" w:cs="Arial"/>
                          <w:color w:val="1F497D" w:themeColor="text2"/>
                          <w:sz w:val="20"/>
                          <w:szCs w:val="20"/>
                        </w:rPr>
                        <w:t>Raphael de Magalhães Cipriano</w:t>
                      </w:r>
                      <w:r w:rsidR="00164E46" w:rsidRPr="005E04A7">
                        <w:rPr>
                          <w:rFonts w:ascii="Arial" w:hAnsi="Arial" w:cs="Arial"/>
                          <w:color w:val="1F497D" w:themeColor="text2"/>
                          <w:sz w:val="20"/>
                          <w:szCs w:val="20"/>
                          <w:vertAlign w:val="superscript"/>
                        </w:rPr>
                        <w:t>2</w:t>
                      </w:r>
                      <w:r w:rsidR="00164E46" w:rsidRPr="005E04A7">
                        <w:rPr>
                          <w:rFonts w:ascii="Arial" w:hAnsi="Arial" w:cs="Arial"/>
                          <w:color w:val="1F497D" w:themeColor="text2"/>
                          <w:sz w:val="20"/>
                          <w:szCs w:val="20"/>
                        </w:rPr>
                        <w:t>,</w:t>
                      </w:r>
                      <w:r>
                        <w:rPr>
                          <w:rFonts w:ascii="Arial" w:hAnsi="Arial" w:cs="Arial"/>
                          <w:color w:val="1F497D" w:themeColor="text2"/>
                          <w:sz w:val="20"/>
                          <w:szCs w:val="20"/>
                        </w:rPr>
                        <w:t xml:space="preserve"> Ursula Carolina de Morais Martins</w:t>
                      </w:r>
                      <w:r w:rsidR="00164E46" w:rsidRPr="005E04A7">
                        <w:rPr>
                          <w:rFonts w:ascii="Arial" w:hAnsi="Arial" w:cs="Arial"/>
                          <w:color w:val="1F497D" w:themeColor="text2"/>
                          <w:sz w:val="20"/>
                          <w:szCs w:val="20"/>
                          <w:vertAlign w:val="superscript"/>
                        </w:rPr>
                        <w:t>3</w:t>
                      </w:r>
                      <w:r w:rsidR="00164E46" w:rsidRPr="005E04A7">
                        <w:rPr>
                          <w:rFonts w:ascii="Arial" w:hAnsi="Arial" w:cs="Arial"/>
                          <w:color w:val="1F497D" w:themeColor="text2"/>
                          <w:sz w:val="20"/>
                          <w:szCs w:val="20"/>
                        </w:rPr>
                        <w:t xml:space="preserve">, </w:t>
                      </w:r>
                      <w:r>
                        <w:rPr>
                          <w:rFonts w:ascii="Arial" w:hAnsi="Arial" w:cs="Arial"/>
                          <w:color w:val="1F497D" w:themeColor="text2"/>
                          <w:sz w:val="20"/>
                          <w:szCs w:val="20"/>
                        </w:rPr>
                        <w:t>Augusto Afonso Guerra</w:t>
                      </w:r>
                      <w:r w:rsidR="00164E46" w:rsidRPr="005E04A7">
                        <w:rPr>
                          <w:rFonts w:ascii="Arial" w:hAnsi="Arial" w:cs="Arial"/>
                          <w:color w:val="1F497D" w:themeColor="text2"/>
                          <w:sz w:val="20"/>
                          <w:szCs w:val="20"/>
                          <w:vertAlign w:val="superscript"/>
                        </w:rPr>
                        <w:t>4</w:t>
                      </w:r>
                      <w:r w:rsidR="00164E46">
                        <w:rPr>
                          <w:rFonts w:ascii="Arial" w:hAnsi="Arial" w:cs="Arial"/>
                          <w:color w:val="1F497D" w:themeColor="text2"/>
                          <w:sz w:val="20"/>
                          <w:szCs w:val="20"/>
                        </w:rPr>
                        <w:t>,</w:t>
                      </w:r>
                      <w:r>
                        <w:rPr>
                          <w:rFonts w:ascii="Arial" w:hAnsi="Arial" w:cs="Arial"/>
                          <w:color w:val="1F497D" w:themeColor="text2"/>
                          <w:sz w:val="20"/>
                          <w:szCs w:val="20"/>
                        </w:rPr>
                        <w:t xml:space="preserve"> Leonardo Maurício Diniz</w:t>
                      </w:r>
                      <w:r w:rsidRPr="00DC6000">
                        <w:rPr>
                          <w:rFonts w:ascii="Arial" w:hAnsi="Arial" w:cs="Arial"/>
                          <w:color w:val="1F497D" w:themeColor="text2"/>
                          <w:sz w:val="20"/>
                          <w:szCs w:val="20"/>
                          <w:vertAlign w:val="superscript"/>
                        </w:rPr>
                        <w:t>5</w:t>
                      </w:r>
                      <w:r>
                        <w:rPr>
                          <w:rFonts w:ascii="Arial" w:hAnsi="Arial" w:cs="Arial"/>
                          <w:color w:val="1F497D" w:themeColor="text2"/>
                          <w:sz w:val="20"/>
                          <w:szCs w:val="20"/>
                        </w:rPr>
                        <w:t>, Juliana Álvares Teodoro</w:t>
                      </w:r>
                      <w:r w:rsidRPr="00DC6000">
                        <w:rPr>
                          <w:rFonts w:ascii="Arial" w:hAnsi="Arial" w:cs="Arial"/>
                          <w:color w:val="1F497D" w:themeColor="text2"/>
                          <w:sz w:val="20"/>
                          <w:szCs w:val="20"/>
                          <w:vertAlign w:val="superscript"/>
                        </w:rPr>
                        <w:t>6</w:t>
                      </w:r>
                      <w:r>
                        <w:rPr>
                          <w:rFonts w:ascii="Arial" w:hAnsi="Arial" w:cs="Arial"/>
                          <w:color w:val="1F497D" w:themeColor="text2"/>
                          <w:sz w:val="20"/>
                          <w:szCs w:val="20"/>
                        </w:rPr>
                        <w:t>, Francisco de Assis Acúrcio</w:t>
                      </w:r>
                      <w:r w:rsidRPr="00DC6000">
                        <w:rPr>
                          <w:rFonts w:ascii="Arial" w:hAnsi="Arial" w:cs="Arial"/>
                          <w:color w:val="1F497D" w:themeColor="text2"/>
                          <w:sz w:val="20"/>
                          <w:szCs w:val="20"/>
                          <w:vertAlign w:val="superscript"/>
                        </w:rPr>
                        <w:t>7</w:t>
                      </w:r>
                    </w:p>
                    <w:p w14:paraId="6F8E8805" w14:textId="74776283" w:rsidR="004C0033" w:rsidRPr="00E81BAC" w:rsidRDefault="004C0033" w:rsidP="00E81BAC">
                      <w:pPr>
                        <w:spacing w:after="240"/>
                        <w:ind w:left="-284" w:right="-352"/>
                        <w:rPr>
                          <w:rFonts w:ascii="Arial" w:hAnsi="Arial" w:cs="Arial"/>
                          <w:b/>
                          <w:color w:val="FFFFFF" w:themeColor="background1"/>
                          <w:sz w:val="4"/>
                          <w:szCs w:val="16"/>
                        </w:rPr>
                      </w:pPr>
                      <w:r w:rsidRPr="004C0033">
                        <w:rPr>
                          <w:sz w:val="10"/>
                          <w:szCs w:val="22"/>
                          <w:highlight w:val="yellow"/>
                        </w:rPr>
                        <w:t>(</w:t>
                      </w:r>
                      <w:r w:rsidRPr="004C0033">
                        <w:rPr>
                          <w:rFonts w:ascii="Segoe UI" w:hAnsi="Segoe UI" w:cs="Segoe UI"/>
                          <w:sz w:val="12"/>
                          <w:szCs w:val="20"/>
                          <w:highlight w:val="yellow"/>
                          <w:shd w:val="clear" w:color="auto" w:fill="FFFFFF"/>
                        </w:rPr>
                        <w:t>A</w:t>
                      </w:r>
                    </w:p>
                  </w:txbxContent>
                </v:textbox>
                <w10:anchorlock/>
              </v:roundrect>
            </w:pict>
          </mc:Fallback>
        </mc:AlternateContent>
      </w:r>
    </w:p>
    <w:tbl>
      <w:tblPr>
        <w:tblStyle w:val="Tabelacomgrade"/>
        <w:tblW w:w="793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9"/>
      </w:tblGrid>
      <w:tr w:rsidR="000F424B" w:rsidRPr="00442DA0" w14:paraId="3E6B690E" w14:textId="77777777" w:rsidTr="00041D7B">
        <w:trPr>
          <w:trHeight w:val="8504"/>
        </w:trPr>
        <w:tc>
          <w:tcPr>
            <w:tcW w:w="7939" w:type="dxa"/>
          </w:tcPr>
          <w:p w14:paraId="60E418B8" w14:textId="77777777" w:rsidR="000F424B" w:rsidRPr="00A421BA" w:rsidRDefault="000F424B" w:rsidP="00143363">
            <w:pPr>
              <w:shd w:val="clear" w:color="auto" w:fill="4F81BD" w:themeFill="accent1"/>
              <w:spacing w:after="40"/>
              <w:ind w:right="34"/>
              <w:jc w:val="center"/>
              <w:rPr>
                <w:rFonts w:ascii="Arial" w:hAnsi="Arial" w:cs="Arial"/>
                <w:b/>
                <w:color w:val="FFFFFF" w:themeColor="background1"/>
                <w:sz w:val="18"/>
                <w:szCs w:val="20"/>
              </w:rPr>
            </w:pPr>
            <w:r w:rsidRPr="00A421BA">
              <w:rPr>
                <w:rFonts w:ascii="Arial" w:hAnsi="Arial" w:cs="Arial"/>
                <w:b/>
                <w:color w:val="FFFFFF" w:themeColor="background1"/>
                <w:sz w:val="18"/>
                <w:szCs w:val="20"/>
              </w:rPr>
              <w:t>RESUMO</w:t>
            </w:r>
          </w:p>
          <w:p w14:paraId="29953CE3" w14:textId="77777777" w:rsidR="000F424B" w:rsidRPr="00C45710" w:rsidRDefault="000F424B" w:rsidP="00143363">
            <w:pPr>
              <w:spacing w:after="40"/>
              <w:ind w:right="34"/>
              <w:jc w:val="both"/>
              <w:rPr>
                <w:rFonts w:ascii="Arial" w:hAnsi="Arial" w:cs="Arial"/>
                <w:color w:val="000000"/>
                <w:sz w:val="16"/>
                <w:szCs w:val="18"/>
              </w:rPr>
            </w:pPr>
          </w:p>
          <w:p w14:paraId="046C27F7" w14:textId="2ADD02E9" w:rsidR="00164E46" w:rsidRDefault="00A05E35" w:rsidP="00164E46">
            <w:pPr>
              <w:spacing w:after="40"/>
              <w:ind w:right="34"/>
              <w:jc w:val="both"/>
              <w:rPr>
                <w:rFonts w:ascii="Arial" w:eastAsia="Arial" w:hAnsi="Arial" w:cs="Arial"/>
                <w:sz w:val="20"/>
                <w:szCs w:val="20"/>
              </w:rPr>
            </w:pPr>
            <w:r w:rsidRPr="00A05E35">
              <w:rPr>
                <w:rFonts w:ascii="Arial" w:eastAsia="Arial" w:hAnsi="Arial" w:cs="Arial"/>
                <w:sz w:val="20"/>
                <w:szCs w:val="20"/>
              </w:rPr>
              <w:t xml:space="preserve">O diabetes tipo 2 </w:t>
            </w:r>
            <w:r w:rsidRPr="00A05E35">
              <w:rPr>
                <w:rFonts w:ascii="Arial" w:eastAsia="Arial" w:hAnsi="Arial" w:cs="Arial" w:hint="eastAsia"/>
                <w:sz w:val="20"/>
                <w:szCs w:val="20"/>
              </w:rPr>
              <w:t>é</w:t>
            </w:r>
            <w:r w:rsidRPr="00A05E35">
              <w:rPr>
                <w:rFonts w:ascii="Arial" w:eastAsia="Arial" w:hAnsi="Arial" w:cs="Arial"/>
                <w:sz w:val="20"/>
                <w:szCs w:val="20"/>
              </w:rPr>
              <w:t xml:space="preserve"> um problema de sa</w:t>
            </w:r>
            <w:r w:rsidRPr="00A05E35">
              <w:rPr>
                <w:rFonts w:ascii="Arial" w:eastAsia="Arial" w:hAnsi="Arial" w:cs="Arial" w:hint="eastAsia"/>
                <w:sz w:val="20"/>
                <w:szCs w:val="20"/>
              </w:rPr>
              <w:t>ú</w:t>
            </w:r>
            <w:r w:rsidRPr="00A05E35">
              <w:rPr>
                <w:rFonts w:ascii="Arial" w:eastAsia="Arial" w:hAnsi="Arial" w:cs="Arial"/>
                <w:sz w:val="20"/>
                <w:szCs w:val="20"/>
              </w:rPr>
              <w:t>de p</w:t>
            </w:r>
            <w:r w:rsidRPr="00A05E35">
              <w:rPr>
                <w:rFonts w:ascii="Arial" w:eastAsia="Arial" w:hAnsi="Arial" w:cs="Arial" w:hint="eastAsia"/>
                <w:sz w:val="20"/>
                <w:szCs w:val="20"/>
              </w:rPr>
              <w:t>ú</w:t>
            </w:r>
            <w:r w:rsidRPr="00A05E35">
              <w:rPr>
                <w:rFonts w:ascii="Arial" w:eastAsia="Arial" w:hAnsi="Arial" w:cs="Arial"/>
                <w:sz w:val="20"/>
                <w:szCs w:val="20"/>
              </w:rPr>
              <w:t>blica global associado ao aumento do risco cardiovascular e da mortalidade. Esta metan</w:t>
            </w:r>
            <w:r w:rsidRPr="00A05E35">
              <w:rPr>
                <w:rFonts w:ascii="Arial" w:eastAsia="Arial" w:hAnsi="Arial" w:cs="Arial" w:hint="eastAsia"/>
                <w:sz w:val="20"/>
                <w:szCs w:val="20"/>
              </w:rPr>
              <w:t>á</w:t>
            </w:r>
            <w:r w:rsidRPr="00A05E35">
              <w:rPr>
                <w:rFonts w:ascii="Arial" w:eastAsia="Arial" w:hAnsi="Arial" w:cs="Arial"/>
                <w:sz w:val="20"/>
                <w:szCs w:val="20"/>
              </w:rPr>
              <w:t>lise avalia a efic</w:t>
            </w:r>
            <w:r w:rsidRPr="00A05E35">
              <w:rPr>
                <w:rFonts w:ascii="Arial" w:eastAsia="Arial" w:hAnsi="Arial" w:cs="Arial" w:hint="eastAsia"/>
                <w:sz w:val="20"/>
                <w:szCs w:val="20"/>
              </w:rPr>
              <w:t>á</w:t>
            </w:r>
            <w:r w:rsidRPr="00A05E35">
              <w:rPr>
                <w:rFonts w:ascii="Arial" w:eastAsia="Arial" w:hAnsi="Arial" w:cs="Arial"/>
                <w:sz w:val="20"/>
                <w:szCs w:val="20"/>
              </w:rPr>
              <w:t>cia dos inibidores de SGLT2 no controle do diabetes, na redu</w:t>
            </w:r>
            <w:r w:rsidRPr="00A05E35">
              <w:rPr>
                <w:rFonts w:ascii="Arial" w:eastAsia="Arial" w:hAnsi="Arial" w:cs="Arial" w:hint="eastAsia"/>
                <w:sz w:val="20"/>
                <w:szCs w:val="20"/>
              </w:rPr>
              <w:t>çã</w:t>
            </w:r>
            <w:r w:rsidRPr="00A05E35">
              <w:rPr>
                <w:rFonts w:ascii="Arial" w:eastAsia="Arial" w:hAnsi="Arial" w:cs="Arial"/>
                <w:sz w:val="20"/>
                <w:szCs w:val="20"/>
              </w:rPr>
              <w:t>o da HbA1c e na minimiza</w:t>
            </w:r>
            <w:r w:rsidRPr="00A05E35">
              <w:rPr>
                <w:rFonts w:ascii="Arial" w:eastAsia="Arial" w:hAnsi="Arial" w:cs="Arial" w:hint="eastAsia"/>
                <w:sz w:val="20"/>
                <w:szCs w:val="20"/>
              </w:rPr>
              <w:t>çã</w:t>
            </w:r>
            <w:r w:rsidRPr="00A05E35">
              <w:rPr>
                <w:rFonts w:ascii="Arial" w:eastAsia="Arial" w:hAnsi="Arial" w:cs="Arial"/>
                <w:sz w:val="20"/>
                <w:szCs w:val="20"/>
              </w:rPr>
              <w:t>o do risco relativo de eventos cardiovasculares adversos maiores (MACE), al</w:t>
            </w:r>
            <w:r w:rsidRPr="00A05E35">
              <w:rPr>
                <w:rFonts w:ascii="Arial" w:eastAsia="Arial" w:hAnsi="Arial" w:cs="Arial" w:hint="eastAsia"/>
                <w:sz w:val="20"/>
                <w:szCs w:val="20"/>
              </w:rPr>
              <w:t>é</w:t>
            </w:r>
            <w:r w:rsidRPr="00A05E35">
              <w:rPr>
                <w:rFonts w:ascii="Arial" w:eastAsia="Arial" w:hAnsi="Arial" w:cs="Arial"/>
                <w:sz w:val="20"/>
                <w:szCs w:val="20"/>
              </w:rPr>
              <w:t>m de examinar a seguran</w:t>
            </w:r>
            <w:r w:rsidRPr="00A05E35">
              <w:rPr>
                <w:rFonts w:ascii="Arial" w:eastAsia="Arial" w:hAnsi="Arial" w:cs="Arial" w:hint="eastAsia"/>
                <w:sz w:val="20"/>
                <w:szCs w:val="20"/>
              </w:rPr>
              <w:t>ç</w:t>
            </w:r>
            <w:r w:rsidRPr="00A05E35">
              <w:rPr>
                <w:rFonts w:ascii="Arial" w:eastAsia="Arial" w:hAnsi="Arial" w:cs="Arial"/>
                <w:sz w:val="20"/>
                <w:szCs w:val="20"/>
              </w:rPr>
              <w:t>a e os efeitos adversos, graves e n</w:t>
            </w:r>
            <w:r w:rsidRPr="00A05E35">
              <w:rPr>
                <w:rFonts w:ascii="Arial" w:eastAsia="Arial" w:hAnsi="Arial" w:cs="Arial" w:hint="eastAsia"/>
                <w:sz w:val="20"/>
                <w:szCs w:val="20"/>
              </w:rPr>
              <w:t>ã</w:t>
            </w:r>
            <w:r w:rsidRPr="00A05E35">
              <w:rPr>
                <w:rFonts w:ascii="Arial" w:eastAsia="Arial" w:hAnsi="Arial" w:cs="Arial"/>
                <w:sz w:val="20"/>
                <w:szCs w:val="20"/>
              </w:rPr>
              <w:t>o graves. Em compara</w:t>
            </w:r>
            <w:r w:rsidRPr="00A05E35">
              <w:rPr>
                <w:rFonts w:ascii="Arial" w:eastAsia="Arial" w:hAnsi="Arial" w:cs="Arial" w:hint="eastAsia"/>
                <w:sz w:val="20"/>
                <w:szCs w:val="20"/>
              </w:rPr>
              <w:t>çã</w:t>
            </w:r>
            <w:r w:rsidRPr="00A05E35">
              <w:rPr>
                <w:rFonts w:ascii="Arial" w:eastAsia="Arial" w:hAnsi="Arial" w:cs="Arial"/>
                <w:sz w:val="20"/>
                <w:szCs w:val="20"/>
              </w:rPr>
              <w:t xml:space="preserve">o </w:t>
            </w:r>
            <w:r w:rsidRPr="00A05E35">
              <w:rPr>
                <w:rFonts w:ascii="Arial" w:eastAsia="Arial" w:hAnsi="Arial" w:cs="Arial" w:hint="eastAsia"/>
                <w:sz w:val="20"/>
                <w:szCs w:val="20"/>
              </w:rPr>
              <w:t>à</w:t>
            </w:r>
            <w:r w:rsidRPr="00A05E35">
              <w:rPr>
                <w:rFonts w:ascii="Arial" w:eastAsia="Arial" w:hAnsi="Arial" w:cs="Arial"/>
                <w:sz w:val="20"/>
                <w:szCs w:val="20"/>
              </w:rPr>
              <w:t xml:space="preserve"> terapia convencional, o uso de inibidores de SGLT2 demonstrou redu</w:t>
            </w:r>
            <w:r w:rsidRPr="00A05E35">
              <w:rPr>
                <w:rFonts w:ascii="Arial" w:eastAsia="Arial" w:hAnsi="Arial" w:cs="Arial" w:hint="eastAsia"/>
                <w:sz w:val="20"/>
                <w:szCs w:val="20"/>
              </w:rPr>
              <w:t>çã</w:t>
            </w:r>
            <w:r w:rsidRPr="00A05E35">
              <w:rPr>
                <w:rFonts w:ascii="Arial" w:eastAsia="Arial" w:hAnsi="Arial" w:cs="Arial"/>
                <w:sz w:val="20"/>
                <w:szCs w:val="20"/>
              </w:rPr>
              <w:t>o de 38% no risco de morte cardiovascular e hospitaliza</w:t>
            </w:r>
            <w:r w:rsidRPr="00A05E35">
              <w:rPr>
                <w:rFonts w:ascii="Arial" w:eastAsia="Arial" w:hAnsi="Arial" w:cs="Arial" w:hint="eastAsia"/>
                <w:sz w:val="20"/>
                <w:szCs w:val="20"/>
              </w:rPr>
              <w:t>çã</w:t>
            </w:r>
            <w:r w:rsidRPr="00A05E35">
              <w:rPr>
                <w:rFonts w:ascii="Arial" w:eastAsia="Arial" w:hAnsi="Arial" w:cs="Arial"/>
                <w:sz w:val="20"/>
                <w:szCs w:val="20"/>
              </w:rPr>
              <w:t>o por insufici</w:t>
            </w:r>
            <w:r w:rsidRPr="00A05E35">
              <w:rPr>
                <w:rFonts w:ascii="Arial" w:eastAsia="Arial" w:hAnsi="Arial" w:cs="Arial" w:hint="eastAsia"/>
                <w:sz w:val="20"/>
                <w:szCs w:val="20"/>
              </w:rPr>
              <w:t>ê</w:t>
            </w:r>
            <w:r w:rsidRPr="00A05E35">
              <w:rPr>
                <w:rFonts w:ascii="Arial" w:eastAsia="Arial" w:hAnsi="Arial" w:cs="Arial"/>
                <w:sz w:val="20"/>
                <w:szCs w:val="20"/>
              </w:rPr>
              <w:t>ncia card</w:t>
            </w:r>
            <w:r w:rsidRPr="00A05E35">
              <w:rPr>
                <w:rFonts w:ascii="Arial" w:eastAsia="Arial" w:hAnsi="Arial" w:cs="Arial" w:hint="eastAsia"/>
                <w:sz w:val="20"/>
                <w:szCs w:val="20"/>
              </w:rPr>
              <w:t>í</w:t>
            </w:r>
            <w:r w:rsidRPr="00A05E35">
              <w:rPr>
                <w:rFonts w:ascii="Arial" w:eastAsia="Arial" w:hAnsi="Arial" w:cs="Arial"/>
                <w:sz w:val="20"/>
                <w:szCs w:val="20"/>
              </w:rPr>
              <w:t>aca, al</w:t>
            </w:r>
            <w:r w:rsidRPr="00A05E35">
              <w:rPr>
                <w:rFonts w:ascii="Arial" w:eastAsia="Arial" w:hAnsi="Arial" w:cs="Arial" w:hint="eastAsia"/>
                <w:sz w:val="20"/>
                <w:szCs w:val="20"/>
              </w:rPr>
              <w:t>é</w:t>
            </w:r>
            <w:r w:rsidRPr="00A05E35">
              <w:rPr>
                <w:rFonts w:ascii="Arial" w:eastAsia="Arial" w:hAnsi="Arial" w:cs="Arial"/>
                <w:sz w:val="20"/>
                <w:szCs w:val="20"/>
              </w:rPr>
              <w:t>m de desacelerar a progress</w:t>
            </w:r>
            <w:r w:rsidRPr="00A05E35">
              <w:rPr>
                <w:rFonts w:ascii="Arial" w:eastAsia="Arial" w:hAnsi="Arial" w:cs="Arial" w:hint="eastAsia"/>
                <w:sz w:val="20"/>
                <w:szCs w:val="20"/>
              </w:rPr>
              <w:t>ã</w:t>
            </w:r>
            <w:r w:rsidRPr="00A05E35">
              <w:rPr>
                <w:rFonts w:ascii="Arial" w:eastAsia="Arial" w:hAnsi="Arial" w:cs="Arial"/>
                <w:sz w:val="20"/>
                <w:szCs w:val="20"/>
              </w:rPr>
              <w:t>o da doen</w:t>
            </w:r>
            <w:r w:rsidRPr="00A05E35">
              <w:rPr>
                <w:rFonts w:ascii="Arial" w:eastAsia="Arial" w:hAnsi="Arial" w:cs="Arial" w:hint="eastAsia"/>
                <w:sz w:val="20"/>
                <w:szCs w:val="20"/>
              </w:rPr>
              <w:t>ç</w:t>
            </w:r>
            <w:r w:rsidRPr="00A05E35">
              <w:rPr>
                <w:rFonts w:ascii="Arial" w:eastAsia="Arial" w:hAnsi="Arial" w:cs="Arial"/>
                <w:sz w:val="20"/>
                <w:szCs w:val="20"/>
              </w:rPr>
              <w:t>a renal cr</w:t>
            </w:r>
            <w:r w:rsidRPr="00A05E35">
              <w:rPr>
                <w:rFonts w:ascii="Arial" w:eastAsia="Arial" w:hAnsi="Arial" w:cs="Arial" w:hint="eastAsia"/>
                <w:sz w:val="20"/>
                <w:szCs w:val="20"/>
              </w:rPr>
              <w:t>ô</w:t>
            </w:r>
            <w:r w:rsidRPr="00A05E35">
              <w:rPr>
                <w:rFonts w:ascii="Arial" w:eastAsia="Arial" w:hAnsi="Arial" w:cs="Arial"/>
                <w:sz w:val="20"/>
                <w:szCs w:val="20"/>
              </w:rPr>
              <w:t>nica. A redu</w:t>
            </w:r>
            <w:r w:rsidRPr="00A05E35">
              <w:rPr>
                <w:rFonts w:ascii="Arial" w:eastAsia="Arial" w:hAnsi="Arial" w:cs="Arial" w:hint="eastAsia"/>
                <w:sz w:val="20"/>
                <w:szCs w:val="20"/>
              </w:rPr>
              <w:t>çã</w:t>
            </w:r>
            <w:r w:rsidRPr="00A05E35">
              <w:rPr>
                <w:rFonts w:ascii="Arial" w:eastAsia="Arial" w:hAnsi="Arial" w:cs="Arial"/>
                <w:sz w:val="20"/>
                <w:szCs w:val="20"/>
              </w:rPr>
              <w:t>o no risco de MACE n</w:t>
            </w:r>
            <w:r w:rsidRPr="00A05E35">
              <w:rPr>
                <w:rFonts w:ascii="Arial" w:eastAsia="Arial" w:hAnsi="Arial" w:cs="Arial" w:hint="eastAsia"/>
                <w:sz w:val="20"/>
                <w:szCs w:val="20"/>
              </w:rPr>
              <w:t>ã</w:t>
            </w:r>
            <w:r w:rsidRPr="00A05E35">
              <w:rPr>
                <w:rFonts w:ascii="Arial" w:eastAsia="Arial" w:hAnsi="Arial" w:cs="Arial"/>
                <w:sz w:val="20"/>
                <w:szCs w:val="20"/>
              </w:rPr>
              <w:t>o foi estatisticamente significativa. Os riscos de hipoglicemia, fraturas e deple</w:t>
            </w:r>
            <w:r w:rsidRPr="00A05E35">
              <w:rPr>
                <w:rFonts w:ascii="Arial" w:eastAsia="Arial" w:hAnsi="Arial" w:cs="Arial" w:hint="eastAsia"/>
                <w:sz w:val="20"/>
                <w:szCs w:val="20"/>
              </w:rPr>
              <w:t>çã</w:t>
            </w:r>
            <w:r w:rsidRPr="00A05E35">
              <w:rPr>
                <w:rFonts w:ascii="Arial" w:eastAsia="Arial" w:hAnsi="Arial" w:cs="Arial"/>
                <w:sz w:val="20"/>
                <w:szCs w:val="20"/>
              </w:rPr>
              <w:t>o de volume permaneceram inalterados, mas houve aumento no risco de infec</w:t>
            </w:r>
            <w:r w:rsidRPr="00A05E35">
              <w:rPr>
                <w:rFonts w:ascii="Arial" w:eastAsia="Arial" w:hAnsi="Arial" w:cs="Arial" w:hint="eastAsia"/>
                <w:sz w:val="20"/>
                <w:szCs w:val="20"/>
              </w:rPr>
              <w:t>çõ</w:t>
            </w:r>
            <w:r w:rsidRPr="00A05E35">
              <w:rPr>
                <w:rFonts w:ascii="Arial" w:eastAsia="Arial" w:hAnsi="Arial" w:cs="Arial"/>
                <w:sz w:val="20"/>
                <w:szCs w:val="20"/>
              </w:rPr>
              <w:t>es mic</w:t>
            </w:r>
            <w:r w:rsidRPr="00A05E35">
              <w:rPr>
                <w:rFonts w:ascii="Arial" w:eastAsia="Arial" w:hAnsi="Arial" w:cs="Arial" w:hint="eastAsia"/>
                <w:sz w:val="20"/>
                <w:szCs w:val="20"/>
              </w:rPr>
              <w:t>ó</w:t>
            </w:r>
            <w:r w:rsidRPr="00A05E35">
              <w:rPr>
                <w:rFonts w:ascii="Arial" w:eastAsia="Arial" w:hAnsi="Arial" w:cs="Arial"/>
                <w:sz w:val="20"/>
                <w:szCs w:val="20"/>
              </w:rPr>
              <w:t>ticas geniturin</w:t>
            </w:r>
            <w:r w:rsidRPr="00A05E35">
              <w:rPr>
                <w:rFonts w:ascii="Arial" w:eastAsia="Arial" w:hAnsi="Arial" w:cs="Arial" w:hint="eastAsia"/>
                <w:sz w:val="20"/>
                <w:szCs w:val="20"/>
              </w:rPr>
              <w:t>á</w:t>
            </w:r>
            <w:r w:rsidRPr="00A05E35">
              <w:rPr>
                <w:rFonts w:ascii="Arial" w:eastAsia="Arial" w:hAnsi="Arial" w:cs="Arial"/>
                <w:sz w:val="20"/>
                <w:szCs w:val="20"/>
              </w:rPr>
              <w:t>rias. A an</w:t>
            </w:r>
            <w:r w:rsidRPr="00A05E35">
              <w:rPr>
                <w:rFonts w:ascii="Arial" w:eastAsia="Arial" w:hAnsi="Arial" w:cs="Arial" w:hint="eastAsia"/>
                <w:sz w:val="20"/>
                <w:szCs w:val="20"/>
              </w:rPr>
              <w:t>á</w:t>
            </w:r>
            <w:r w:rsidRPr="00A05E35">
              <w:rPr>
                <w:rFonts w:ascii="Arial" w:eastAsia="Arial" w:hAnsi="Arial" w:cs="Arial"/>
                <w:sz w:val="20"/>
                <w:szCs w:val="20"/>
              </w:rPr>
              <w:t>lise mostrou que, embora n</w:t>
            </w:r>
            <w:r w:rsidRPr="00A05E35">
              <w:rPr>
                <w:rFonts w:ascii="Arial" w:eastAsia="Arial" w:hAnsi="Arial" w:cs="Arial" w:hint="eastAsia"/>
                <w:sz w:val="20"/>
                <w:szCs w:val="20"/>
              </w:rPr>
              <w:t>ã</w:t>
            </w:r>
            <w:r w:rsidRPr="00A05E35">
              <w:rPr>
                <w:rFonts w:ascii="Arial" w:eastAsia="Arial" w:hAnsi="Arial" w:cs="Arial"/>
                <w:sz w:val="20"/>
                <w:szCs w:val="20"/>
              </w:rPr>
              <w:t>o tenha havido redu</w:t>
            </w:r>
            <w:r w:rsidRPr="00A05E35">
              <w:rPr>
                <w:rFonts w:ascii="Arial" w:eastAsia="Arial" w:hAnsi="Arial" w:cs="Arial" w:hint="eastAsia"/>
                <w:sz w:val="20"/>
                <w:szCs w:val="20"/>
              </w:rPr>
              <w:t>çã</w:t>
            </w:r>
            <w:r w:rsidRPr="00A05E35">
              <w:rPr>
                <w:rFonts w:ascii="Arial" w:eastAsia="Arial" w:hAnsi="Arial" w:cs="Arial"/>
                <w:sz w:val="20"/>
                <w:szCs w:val="20"/>
              </w:rPr>
              <w:t>o significativa da mortalidade cardiovascular, houve benef</w:t>
            </w:r>
            <w:r w:rsidRPr="00A05E35">
              <w:rPr>
                <w:rFonts w:ascii="Arial" w:eastAsia="Arial" w:hAnsi="Arial" w:cs="Arial" w:hint="eastAsia"/>
                <w:sz w:val="20"/>
                <w:szCs w:val="20"/>
              </w:rPr>
              <w:t>í</w:t>
            </w:r>
            <w:r w:rsidRPr="00A05E35">
              <w:rPr>
                <w:rFonts w:ascii="Arial" w:eastAsia="Arial" w:hAnsi="Arial" w:cs="Arial"/>
                <w:sz w:val="20"/>
                <w:szCs w:val="20"/>
              </w:rPr>
              <w:t>cios na redu</w:t>
            </w:r>
            <w:r w:rsidRPr="00A05E35">
              <w:rPr>
                <w:rFonts w:ascii="Arial" w:eastAsia="Arial" w:hAnsi="Arial" w:cs="Arial" w:hint="eastAsia"/>
                <w:sz w:val="20"/>
                <w:szCs w:val="20"/>
              </w:rPr>
              <w:t>çã</w:t>
            </w:r>
            <w:r w:rsidRPr="00A05E35">
              <w:rPr>
                <w:rFonts w:ascii="Arial" w:eastAsia="Arial" w:hAnsi="Arial" w:cs="Arial"/>
                <w:sz w:val="20"/>
                <w:szCs w:val="20"/>
              </w:rPr>
              <w:t>o das hospitaliza</w:t>
            </w:r>
            <w:r w:rsidRPr="00A05E35">
              <w:rPr>
                <w:rFonts w:ascii="Arial" w:eastAsia="Arial" w:hAnsi="Arial" w:cs="Arial" w:hint="eastAsia"/>
                <w:sz w:val="20"/>
                <w:szCs w:val="20"/>
              </w:rPr>
              <w:t>çõ</w:t>
            </w:r>
            <w:r w:rsidRPr="00A05E35">
              <w:rPr>
                <w:rFonts w:ascii="Arial" w:eastAsia="Arial" w:hAnsi="Arial" w:cs="Arial"/>
                <w:sz w:val="20"/>
                <w:szCs w:val="20"/>
              </w:rPr>
              <w:t>es por insufici</w:t>
            </w:r>
            <w:r w:rsidRPr="00A05E35">
              <w:rPr>
                <w:rFonts w:ascii="Arial" w:eastAsia="Arial" w:hAnsi="Arial" w:cs="Arial" w:hint="eastAsia"/>
                <w:sz w:val="20"/>
                <w:szCs w:val="20"/>
              </w:rPr>
              <w:t>ê</w:t>
            </w:r>
            <w:r w:rsidRPr="00A05E35">
              <w:rPr>
                <w:rFonts w:ascii="Arial" w:eastAsia="Arial" w:hAnsi="Arial" w:cs="Arial"/>
                <w:sz w:val="20"/>
                <w:szCs w:val="20"/>
              </w:rPr>
              <w:t>ncia card</w:t>
            </w:r>
            <w:r w:rsidRPr="00A05E35">
              <w:rPr>
                <w:rFonts w:ascii="Arial" w:eastAsia="Arial" w:hAnsi="Arial" w:cs="Arial" w:hint="eastAsia"/>
                <w:sz w:val="20"/>
                <w:szCs w:val="20"/>
              </w:rPr>
              <w:t>í</w:t>
            </w:r>
            <w:r w:rsidRPr="00A05E35">
              <w:rPr>
                <w:rFonts w:ascii="Arial" w:eastAsia="Arial" w:hAnsi="Arial" w:cs="Arial"/>
                <w:sz w:val="20"/>
                <w:szCs w:val="20"/>
              </w:rPr>
              <w:t>aca e na lentifica</w:t>
            </w:r>
            <w:r w:rsidRPr="00A05E35">
              <w:rPr>
                <w:rFonts w:ascii="Arial" w:eastAsia="Arial" w:hAnsi="Arial" w:cs="Arial" w:hint="eastAsia"/>
                <w:sz w:val="20"/>
                <w:szCs w:val="20"/>
              </w:rPr>
              <w:t>çã</w:t>
            </w:r>
            <w:r w:rsidRPr="00A05E35">
              <w:rPr>
                <w:rFonts w:ascii="Arial" w:eastAsia="Arial" w:hAnsi="Arial" w:cs="Arial"/>
                <w:sz w:val="20"/>
                <w:szCs w:val="20"/>
              </w:rPr>
              <w:t>o da progress</w:t>
            </w:r>
            <w:r w:rsidRPr="00A05E35">
              <w:rPr>
                <w:rFonts w:ascii="Arial" w:eastAsia="Arial" w:hAnsi="Arial" w:cs="Arial" w:hint="eastAsia"/>
                <w:sz w:val="20"/>
                <w:szCs w:val="20"/>
              </w:rPr>
              <w:t>ã</w:t>
            </w:r>
            <w:r w:rsidRPr="00A05E35">
              <w:rPr>
                <w:rFonts w:ascii="Arial" w:eastAsia="Arial" w:hAnsi="Arial" w:cs="Arial"/>
                <w:sz w:val="20"/>
                <w:szCs w:val="20"/>
              </w:rPr>
              <w:t xml:space="preserve">o renal. Persistem desafios relacionados </w:t>
            </w:r>
            <w:r w:rsidRPr="00A05E35">
              <w:rPr>
                <w:rFonts w:ascii="Arial" w:eastAsia="Arial" w:hAnsi="Arial" w:cs="Arial" w:hint="eastAsia"/>
                <w:sz w:val="20"/>
                <w:szCs w:val="20"/>
              </w:rPr>
              <w:t>à</w:t>
            </w:r>
            <w:r w:rsidRPr="00A05E35">
              <w:rPr>
                <w:rFonts w:ascii="Arial" w:eastAsia="Arial" w:hAnsi="Arial" w:cs="Arial"/>
                <w:sz w:val="20"/>
                <w:szCs w:val="20"/>
              </w:rPr>
              <w:t xml:space="preserve"> seguran</w:t>
            </w:r>
            <w:r w:rsidRPr="00A05E35">
              <w:rPr>
                <w:rFonts w:ascii="Arial" w:eastAsia="Arial" w:hAnsi="Arial" w:cs="Arial" w:hint="eastAsia"/>
                <w:sz w:val="20"/>
                <w:szCs w:val="20"/>
              </w:rPr>
              <w:t>ç</w:t>
            </w:r>
            <w:r w:rsidRPr="00A05E35">
              <w:rPr>
                <w:rFonts w:ascii="Arial" w:eastAsia="Arial" w:hAnsi="Arial" w:cs="Arial"/>
                <w:sz w:val="20"/>
                <w:szCs w:val="20"/>
              </w:rPr>
              <w:t xml:space="preserve">a, especialmente quanto </w:t>
            </w:r>
            <w:r w:rsidRPr="00A05E35">
              <w:rPr>
                <w:rFonts w:ascii="Arial" w:eastAsia="Arial" w:hAnsi="Arial" w:cs="Arial" w:hint="eastAsia"/>
                <w:sz w:val="20"/>
                <w:szCs w:val="20"/>
              </w:rPr>
              <w:t>à</w:t>
            </w:r>
            <w:r w:rsidRPr="00A05E35">
              <w:rPr>
                <w:rFonts w:ascii="Arial" w:eastAsia="Arial" w:hAnsi="Arial" w:cs="Arial"/>
                <w:sz w:val="20"/>
                <w:szCs w:val="20"/>
              </w:rPr>
              <w:t xml:space="preserve"> hipoglicemia, fraturas, hipotens</w:t>
            </w:r>
            <w:r w:rsidRPr="00A05E35">
              <w:rPr>
                <w:rFonts w:ascii="Arial" w:eastAsia="Arial" w:hAnsi="Arial" w:cs="Arial" w:hint="eastAsia"/>
                <w:sz w:val="20"/>
                <w:szCs w:val="20"/>
              </w:rPr>
              <w:t>ã</w:t>
            </w:r>
            <w:r w:rsidRPr="00A05E35">
              <w:rPr>
                <w:rFonts w:ascii="Arial" w:eastAsia="Arial" w:hAnsi="Arial" w:cs="Arial"/>
                <w:sz w:val="20"/>
                <w:szCs w:val="20"/>
              </w:rPr>
              <w:t>o ortost</w:t>
            </w:r>
            <w:r w:rsidRPr="00A05E35">
              <w:rPr>
                <w:rFonts w:ascii="Arial" w:eastAsia="Arial" w:hAnsi="Arial" w:cs="Arial" w:hint="eastAsia"/>
                <w:sz w:val="20"/>
                <w:szCs w:val="20"/>
              </w:rPr>
              <w:t>á</w:t>
            </w:r>
            <w:r w:rsidRPr="00A05E35">
              <w:rPr>
                <w:rFonts w:ascii="Arial" w:eastAsia="Arial" w:hAnsi="Arial" w:cs="Arial"/>
                <w:sz w:val="20"/>
                <w:szCs w:val="20"/>
              </w:rPr>
              <w:t>tica e infec</w:t>
            </w:r>
            <w:r w:rsidRPr="00A05E35">
              <w:rPr>
                <w:rFonts w:ascii="Arial" w:eastAsia="Arial" w:hAnsi="Arial" w:cs="Arial" w:hint="eastAsia"/>
                <w:sz w:val="20"/>
                <w:szCs w:val="20"/>
              </w:rPr>
              <w:t>çõ</w:t>
            </w:r>
            <w:r w:rsidRPr="00A05E35">
              <w:rPr>
                <w:rFonts w:ascii="Arial" w:eastAsia="Arial" w:hAnsi="Arial" w:cs="Arial"/>
                <w:sz w:val="20"/>
                <w:szCs w:val="20"/>
              </w:rPr>
              <w:t>es f</w:t>
            </w:r>
            <w:r w:rsidRPr="00A05E35">
              <w:rPr>
                <w:rFonts w:ascii="Arial" w:eastAsia="Arial" w:hAnsi="Arial" w:cs="Arial" w:hint="eastAsia"/>
                <w:sz w:val="20"/>
                <w:szCs w:val="20"/>
              </w:rPr>
              <w:t>ú</w:t>
            </w:r>
            <w:r w:rsidRPr="00A05E35">
              <w:rPr>
                <w:rFonts w:ascii="Arial" w:eastAsia="Arial" w:hAnsi="Arial" w:cs="Arial"/>
                <w:sz w:val="20"/>
                <w:szCs w:val="20"/>
              </w:rPr>
              <w:t>ngicas. S</w:t>
            </w:r>
            <w:r w:rsidRPr="00A05E35">
              <w:rPr>
                <w:rFonts w:ascii="Arial" w:eastAsia="Arial" w:hAnsi="Arial" w:cs="Arial" w:hint="eastAsia"/>
                <w:sz w:val="20"/>
                <w:szCs w:val="20"/>
              </w:rPr>
              <w:t>ã</w:t>
            </w:r>
            <w:r w:rsidRPr="00A05E35">
              <w:rPr>
                <w:rFonts w:ascii="Arial" w:eastAsia="Arial" w:hAnsi="Arial" w:cs="Arial"/>
                <w:sz w:val="20"/>
                <w:szCs w:val="20"/>
              </w:rPr>
              <w:t>o necess</w:t>
            </w:r>
            <w:r w:rsidRPr="00A05E35">
              <w:rPr>
                <w:rFonts w:ascii="Arial" w:eastAsia="Arial" w:hAnsi="Arial" w:cs="Arial" w:hint="eastAsia"/>
                <w:sz w:val="20"/>
                <w:szCs w:val="20"/>
              </w:rPr>
              <w:t>á</w:t>
            </w:r>
            <w:r w:rsidRPr="00A05E35">
              <w:rPr>
                <w:rFonts w:ascii="Arial" w:eastAsia="Arial" w:hAnsi="Arial" w:cs="Arial"/>
                <w:sz w:val="20"/>
                <w:szCs w:val="20"/>
              </w:rPr>
              <w:t>rias mais pesquisas para avaliar esses aspectos e refor</w:t>
            </w:r>
            <w:r w:rsidRPr="00A05E35">
              <w:rPr>
                <w:rFonts w:ascii="Arial" w:eastAsia="Arial" w:hAnsi="Arial" w:cs="Arial" w:hint="eastAsia"/>
                <w:sz w:val="20"/>
                <w:szCs w:val="20"/>
              </w:rPr>
              <w:t>ç</w:t>
            </w:r>
            <w:r w:rsidRPr="00A05E35">
              <w:rPr>
                <w:rFonts w:ascii="Arial" w:eastAsia="Arial" w:hAnsi="Arial" w:cs="Arial"/>
                <w:sz w:val="20"/>
                <w:szCs w:val="20"/>
              </w:rPr>
              <w:t>ar o uso cauteloso dos inibidores de SGLT2, sobretudo em pacientes com controle glic</w:t>
            </w:r>
            <w:r w:rsidRPr="00A05E35">
              <w:rPr>
                <w:rFonts w:ascii="Arial" w:eastAsia="Arial" w:hAnsi="Arial" w:cs="Arial" w:hint="eastAsia"/>
                <w:sz w:val="20"/>
                <w:szCs w:val="20"/>
              </w:rPr>
              <w:t>ê</w:t>
            </w:r>
            <w:r w:rsidRPr="00A05E35">
              <w:rPr>
                <w:rFonts w:ascii="Arial" w:eastAsia="Arial" w:hAnsi="Arial" w:cs="Arial"/>
                <w:sz w:val="20"/>
                <w:szCs w:val="20"/>
              </w:rPr>
              <w:t>mico moderado.</w:t>
            </w:r>
          </w:p>
          <w:p w14:paraId="6183F8E0" w14:textId="77777777" w:rsidR="00A05E35" w:rsidRPr="005C390E" w:rsidRDefault="00A05E35" w:rsidP="00164E46">
            <w:pPr>
              <w:spacing w:after="40"/>
              <w:ind w:right="34"/>
              <w:jc w:val="both"/>
              <w:rPr>
                <w:rFonts w:ascii="Arial" w:hAnsi="Arial" w:cs="Arial"/>
                <w:color w:val="000000"/>
                <w:sz w:val="20"/>
                <w:szCs w:val="20"/>
              </w:rPr>
            </w:pPr>
          </w:p>
          <w:p w14:paraId="4445DC83" w14:textId="1DDD3CF3" w:rsidR="00164E46" w:rsidRPr="00391768" w:rsidRDefault="007B14C2" w:rsidP="00164E46">
            <w:pPr>
              <w:spacing w:after="40"/>
              <w:ind w:right="34"/>
              <w:jc w:val="both"/>
              <w:rPr>
                <w:rFonts w:ascii="Arial" w:eastAsia="Arial" w:hAnsi="Arial" w:cs="Arial"/>
                <w:sz w:val="20"/>
                <w:szCs w:val="20"/>
              </w:rPr>
            </w:pPr>
            <w:r>
              <w:rPr>
                <w:rFonts w:ascii="Arial" w:hAnsi="Arial" w:cs="Arial"/>
                <w:b/>
                <w:color w:val="000000"/>
                <w:sz w:val="20"/>
                <w:szCs w:val="20"/>
              </w:rPr>
              <w:t>Palavras-chave</w:t>
            </w:r>
            <w:r w:rsidR="00164E46" w:rsidRPr="005C390E">
              <w:rPr>
                <w:rFonts w:ascii="Arial" w:hAnsi="Arial" w:cs="Arial"/>
                <w:color w:val="000000"/>
                <w:sz w:val="20"/>
                <w:szCs w:val="20"/>
              </w:rPr>
              <w:t xml:space="preserve">: </w:t>
            </w:r>
            <w:r w:rsidR="00D013AB">
              <w:rPr>
                <w:rFonts w:ascii="Arial" w:eastAsia="Arial" w:hAnsi="Arial" w:cs="Arial"/>
                <w:sz w:val="20"/>
                <w:szCs w:val="20"/>
              </w:rPr>
              <w:t>Diabetes mellitus tipo 2</w:t>
            </w:r>
            <w:r w:rsidR="00164E46" w:rsidRPr="005C390E">
              <w:rPr>
                <w:rFonts w:ascii="Arial" w:eastAsia="Arial" w:hAnsi="Arial" w:cs="Arial"/>
                <w:sz w:val="20"/>
                <w:szCs w:val="20"/>
              </w:rPr>
              <w:t xml:space="preserve">. </w:t>
            </w:r>
            <w:r w:rsidR="00627CB2">
              <w:rPr>
                <w:rFonts w:ascii="Arial" w:eastAsia="Arial" w:hAnsi="Arial" w:cs="Arial"/>
                <w:sz w:val="20"/>
                <w:szCs w:val="20"/>
              </w:rPr>
              <w:t xml:space="preserve">Transportador 2 de </w:t>
            </w:r>
            <w:r w:rsidR="009A2552">
              <w:rPr>
                <w:rFonts w:ascii="Arial" w:eastAsia="Arial" w:hAnsi="Arial" w:cs="Arial"/>
                <w:sz w:val="20"/>
                <w:szCs w:val="20"/>
              </w:rPr>
              <w:t>glucose-sódio</w:t>
            </w:r>
            <w:r w:rsidR="00627CB2">
              <w:rPr>
                <w:rFonts w:ascii="Arial" w:eastAsia="Arial" w:hAnsi="Arial" w:cs="Arial"/>
                <w:sz w:val="20"/>
                <w:szCs w:val="20"/>
              </w:rPr>
              <w:t xml:space="preserve">. </w:t>
            </w:r>
            <w:r w:rsidR="009A2552">
              <w:rPr>
                <w:rFonts w:ascii="Arial" w:eastAsia="Arial" w:hAnsi="Arial" w:cs="Arial"/>
                <w:sz w:val="20"/>
                <w:szCs w:val="20"/>
              </w:rPr>
              <w:t>Metanálise</w:t>
            </w:r>
            <w:r w:rsidR="00164E46" w:rsidRPr="005C390E">
              <w:rPr>
                <w:rFonts w:ascii="Arial" w:eastAsia="Arial" w:hAnsi="Arial" w:cs="Arial"/>
                <w:sz w:val="20"/>
                <w:szCs w:val="20"/>
              </w:rPr>
              <w:t>.</w:t>
            </w:r>
          </w:p>
          <w:p w14:paraId="1A57D9CD" w14:textId="77777777" w:rsidR="000F424B" w:rsidRPr="00391768" w:rsidRDefault="000F424B" w:rsidP="00143363">
            <w:pPr>
              <w:spacing w:after="40"/>
              <w:ind w:right="34"/>
              <w:jc w:val="both"/>
              <w:rPr>
                <w:rFonts w:ascii="Arial" w:eastAsia="Arial" w:hAnsi="Arial" w:cs="Arial"/>
                <w:sz w:val="18"/>
                <w:szCs w:val="18"/>
              </w:rPr>
            </w:pPr>
          </w:p>
          <w:p w14:paraId="374B3F3A" w14:textId="77777777" w:rsidR="000F424B" w:rsidRPr="00A421BA" w:rsidRDefault="000F424B" w:rsidP="00143363">
            <w:pPr>
              <w:shd w:val="clear" w:color="auto" w:fill="4F81BD" w:themeFill="accent1"/>
              <w:spacing w:after="40"/>
              <w:ind w:right="34"/>
              <w:jc w:val="center"/>
              <w:rPr>
                <w:rFonts w:ascii="Arial" w:hAnsi="Arial" w:cs="Arial"/>
                <w:b/>
                <w:color w:val="FFFFFF" w:themeColor="background1"/>
                <w:sz w:val="18"/>
                <w:szCs w:val="20"/>
                <w:lang w:val="en-US"/>
              </w:rPr>
            </w:pPr>
            <w:r w:rsidRPr="00A421BA">
              <w:rPr>
                <w:rFonts w:ascii="Arial" w:hAnsi="Arial" w:cs="Arial"/>
                <w:b/>
                <w:color w:val="FFFFFF" w:themeColor="background1"/>
                <w:sz w:val="18"/>
                <w:szCs w:val="20"/>
                <w:lang w:val="en-US"/>
              </w:rPr>
              <w:t>ABSTRACT</w:t>
            </w:r>
          </w:p>
          <w:p w14:paraId="5CC55EEC" w14:textId="77777777" w:rsidR="000F424B" w:rsidRPr="00C45710" w:rsidRDefault="000F424B" w:rsidP="00143363">
            <w:pPr>
              <w:spacing w:after="40"/>
              <w:ind w:right="34"/>
              <w:jc w:val="both"/>
              <w:rPr>
                <w:rFonts w:ascii="Arial" w:eastAsia="Calibri" w:hAnsi="Arial" w:cs="Arial"/>
                <w:color w:val="000000"/>
                <w:sz w:val="16"/>
                <w:szCs w:val="18"/>
                <w:lang w:val="en-US"/>
              </w:rPr>
            </w:pPr>
          </w:p>
          <w:p w14:paraId="55D123AE" w14:textId="6F9EA266" w:rsidR="001E0F1B" w:rsidRDefault="004A1BEA" w:rsidP="001E0F1B">
            <w:pPr>
              <w:spacing w:after="40"/>
              <w:ind w:right="34"/>
              <w:jc w:val="both"/>
              <w:rPr>
                <w:rFonts w:ascii="Arial" w:eastAsia="Calibri" w:hAnsi="Arial" w:cs="Arial"/>
                <w:color w:val="000000"/>
                <w:sz w:val="20"/>
                <w:szCs w:val="20"/>
                <w:lang w:val="en-US"/>
              </w:rPr>
            </w:pPr>
            <w:r w:rsidRPr="004A1BEA">
              <w:rPr>
                <w:rFonts w:ascii="Arial" w:eastAsia="Calibri" w:hAnsi="Arial" w:cs="Arial"/>
                <w:color w:val="000000"/>
                <w:sz w:val="20"/>
                <w:szCs w:val="20"/>
                <w:lang w:val="en-US"/>
              </w:rPr>
              <w:t>Type 2 diabetes is a global public health problem associated with increased cardiovascular risk and mortality. This meta-analysis aims to assess the effectiveness of ISGLT2 in managing diabetes, reducing HbA1C levels, and minimizing the relative risk of MACE, while also evaluating safety and both serious and non-serious adverse effects. Compared with conventional therapy, ISGLT2 demonstrated a significant 38% reduction in the risk of cardiovascular death and hospitalization for heart failure, with a marked slowing of the progression of chronic kidney disease. The reduction in the risk of MACE was not statistically significant. The risks of hypoglycaemia, fractures and volume depletion remained unchanged, but there was an increased risk of genitourinary mycotic infections. The analysis revealed that although there was no significant reduction in cardiovascular mortality, there were benefits in terms of reducing hospitalisations for heart failure and slowing renal progression. Challenges in data collection and safety, particularly in relation to hypoglycaemia, fractures, orthostatic hypotension and genitourinary mycotic infections, were identified. Further research is needed to address these issues and assess the safety of ISGLT2 in patients at increased risk of mycotic infections. It is essential to prescribe these drugs with caution, particularly in those with moderate glycaemic control effects.</w:t>
            </w:r>
          </w:p>
          <w:p w14:paraId="49444EBD" w14:textId="77777777" w:rsidR="00B37E41" w:rsidRPr="005C390E" w:rsidRDefault="00B37E41" w:rsidP="001E0F1B">
            <w:pPr>
              <w:spacing w:after="40"/>
              <w:ind w:right="34"/>
              <w:jc w:val="both"/>
              <w:rPr>
                <w:rFonts w:ascii="Arial" w:eastAsia="Calibri" w:hAnsi="Arial" w:cs="Arial"/>
                <w:color w:val="000000"/>
                <w:sz w:val="20"/>
                <w:szCs w:val="20"/>
                <w:lang w:val="en-US"/>
              </w:rPr>
            </w:pPr>
          </w:p>
          <w:p w14:paraId="2F612F96" w14:textId="75D4564A" w:rsidR="001E0F1B" w:rsidRPr="000C7EDB" w:rsidRDefault="007B14C2" w:rsidP="00F26869">
            <w:pPr>
              <w:spacing w:after="40"/>
              <w:ind w:right="34"/>
              <w:jc w:val="both"/>
              <w:rPr>
                <w:rFonts w:ascii="Arial" w:hAnsi="Arial" w:cs="Arial"/>
                <w:color w:val="000000"/>
                <w:sz w:val="20"/>
                <w:szCs w:val="20"/>
              </w:rPr>
            </w:pPr>
            <w:r>
              <w:rPr>
                <w:rFonts w:ascii="Arial" w:eastAsia="Calibri" w:hAnsi="Arial" w:cs="Arial"/>
                <w:b/>
                <w:color w:val="000000"/>
                <w:sz w:val="20"/>
                <w:szCs w:val="20"/>
                <w:lang w:val="en-US"/>
              </w:rPr>
              <w:t>Keywords</w:t>
            </w:r>
            <w:r w:rsidR="001E0F1B" w:rsidRPr="005C390E">
              <w:rPr>
                <w:rFonts w:ascii="Arial" w:eastAsia="Calibri" w:hAnsi="Arial" w:cs="Arial"/>
                <w:color w:val="000000"/>
                <w:sz w:val="20"/>
                <w:szCs w:val="20"/>
                <w:lang w:val="en-US"/>
              </w:rPr>
              <w:t xml:space="preserve">: </w:t>
            </w:r>
            <w:r w:rsidR="00B769EB">
              <w:rPr>
                <w:rFonts w:ascii="Arial" w:eastAsia="Calibri" w:hAnsi="Arial" w:cs="Arial"/>
                <w:color w:val="000000"/>
                <w:sz w:val="20"/>
                <w:szCs w:val="20"/>
                <w:lang w:val="en-US"/>
              </w:rPr>
              <w:t>Diabetes mellitus; Type 2</w:t>
            </w:r>
            <w:r w:rsidR="001E0F1B" w:rsidRPr="005C390E">
              <w:rPr>
                <w:rFonts w:ascii="Arial" w:eastAsia="Calibri" w:hAnsi="Arial" w:cs="Arial"/>
                <w:color w:val="000000"/>
                <w:sz w:val="20"/>
                <w:szCs w:val="20"/>
                <w:lang w:val="en-US"/>
              </w:rPr>
              <w:t xml:space="preserve">. </w:t>
            </w:r>
            <w:r w:rsidR="00B769EB">
              <w:rPr>
                <w:rFonts w:ascii="Arial" w:eastAsia="Calibri" w:hAnsi="Arial" w:cs="Arial"/>
                <w:color w:val="000000"/>
                <w:sz w:val="20"/>
                <w:szCs w:val="20"/>
                <w:lang w:val="en-US"/>
              </w:rPr>
              <w:t>Sodium-glucose transporter 2</w:t>
            </w:r>
            <w:r w:rsidR="0076285A">
              <w:rPr>
                <w:rFonts w:ascii="Arial" w:eastAsia="Calibri" w:hAnsi="Arial" w:cs="Arial"/>
                <w:color w:val="000000"/>
                <w:sz w:val="20"/>
                <w:szCs w:val="20"/>
                <w:lang w:val="en-US"/>
              </w:rPr>
              <w:t xml:space="preserve"> inhibitors</w:t>
            </w:r>
            <w:r w:rsidR="001E0F1B" w:rsidRPr="005C390E">
              <w:rPr>
                <w:rFonts w:ascii="Arial" w:eastAsia="Calibri" w:hAnsi="Arial" w:cs="Arial"/>
                <w:color w:val="000000"/>
                <w:sz w:val="20"/>
                <w:szCs w:val="20"/>
                <w:lang w:val="en-US"/>
              </w:rPr>
              <w:t xml:space="preserve">. </w:t>
            </w:r>
            <w:r w:rsidR="0076285A">
              <w:rPr>
                <w:rFonts w:ascii="Arial" w:eastAsia="Calibri" w:hAnsi="Arial" w:cs="Arial"/>
                <w:color w:val="000000"/>
                <w:sz w:val="20"/>
                <w:szCs w:val="20"/>
                <w:lang w:val="en-US"/>
              </w:rPr>
              <w:t>Meta-analysis</w:t>
            </w:r>
            <w:r w:rsidR="001E0F1B" w:rsidRPr="005C390E">
              <w:rPr>
                <w:rFonts w:ascii="Arial" w:eastAsia="Calibri" w:hAnsi="Arial" w:cs="Arial"/>
                <w:color w:val="000000"/>
                <w:sz w:val="20"/>
                <w:szCs w:val="20"/>
                <w:lang w:val="en-US"/>
              </w:rPr>
              <w:t>.</w:t>
            </w:r>
          </w:p>
        </w:tc>
      </w:tr>
    </w:tbl>
    <w:p w14:paraId="39AA1694" w14:textId="77777777" w:rsidR="00EE77B4" w:rsidRPr="00442DA0" w:rsidRDefault="00EE77B4" w:rsidP="00E85EBC">
      <w:pPr>
        <w:jc w:val="both"/>
        <w:rPr>
          <w:rFonts w:ascii="Arial" w:hAnsi="Arial" w:cs="Arial"/>
          <w:lang w:val="en-US"/>
        </w:rPr>
        <w:sectPr w:rsidR="00EE77B4" w:rsidRPr="00442DA0" w:rsidSect="00CC2626">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1134" w:bottom="1134" w:left="1134" w:header="851" w:footer="510" w:gutter="0"/>
          <w:pgNumType w:start="182"/>
          <w:cols w:space="708"/>
          <w:docGrid w:linePitch="360"/>
        </w:sectPr>
      </w:pPr>
    </w:p>
    <w:p w14:paraId="4D30F319" w14:textId="134DADD3" w:rsidR="008854AD" w:rsidRDefault="008854AD">
      <w:pPr>
        <w:spacing w:after="200" w:line="276" w:lineRule="auto"/>
        <w:rPr>
          <w:rFonts w:ascii="Arial" w:hAnsi="Arial" w:cs="Arial"/>
          <w:b/>
          <w:color w:val="FFFFFF" w:themeColor="background1"/>
          <w:szCs w:val="20"/>
        </w:rPr>
      </w:pPr>
    </w:p>
    <w:p w14:paraId="722A3794" w14:textId="6B62E3CC" w:rsidR="009B3BC4" w:rsidRPr="00DA00A0" w:rsidRDefault="00F3588D" w:rsidP="00DA00A0">
      <w:pPr>
        <w:shd w:val="clear" w:color="auto" w:fill="4F81BD" w:themeFill="accent1"/>
        <w:rPr>
          <w:rFonts w:ascii="Arial" w:hAnsi="Arial" w:cs="Arial"/>
          <w:b/>
          <w:color w:val="FFFFFF" w:themeColor="background1"/>
          <w:szCs w:val="20"/>
        </w:rPr>
      </w:pPr>
      <w:r>
        <w:rPr>
          <w:rFonts w:ascii="Arial" w:hAnsi="Arial" w:cs="Arial"/>
          <w:b/>
          <w:color w:val="FFFFFF" w:themeColor="background1"/>
          <w:szCs w:val="20"/>
        </w:rPr>
        <w:t xml:space="preserve">1. </w:t>
      </w:r>
      <w:r w:rsidR="00B054B9">
        <w:rPr>
          <w:rFonts w:ascii="Arial" w:hAnsi="Arial" w:cs="Arial"/>
          <w:b/>
          <w:color w:val="FFFFFF" w:themeColor="background1"/>
          <w:szCs w:val="20"/>
        </w:rPr>
        <w:t>INTRODUCTION</w:t>
      </w:r>
    </w:p>
    <w:p w14:paraId="2B0B9148" w14:textId="77777777" w:rsidR="00DA00A0" w:rsidRDefault="00DA00A0" w:rsidP="00622E6C">
      <w:pPr>
        <w:spacing w:line="360" w:lineRule="auto"/>
        <w:ind w:firstLine="567"/>
        <w:jc w:val="both"/>
        <w:rPr>
          <w:rFonts w:ascii="Arial" w:eastAsia="Arial" w:hAnsi="Arial" w:cs="Arial"/>
        </w:rPr>
      </w:pPr>
    </w:p>
    <w:p w14:paraId="6925F917" w14:textId="208F5A1C" w:rsidR="00800B88" w:rsidRPr="00800B88" w:rsidRDefault="00233256" w:rsidP="00136D32">
      <w:pPr>
        <w:spacing w:line="360" w:lineRule="auto"/>
        <w:ind w:firstLine="567"/>
        <w:jc w:val="both"/>
        <w:rPr>
          <w:rFonts w:ascii="Arial" w:eastAsia="Arial" w:hAnsi="Arial" w:cs="Arial"/>
        </w:rPr>
      </w:pPr>
      <w:r w:rsidRPr="00233256">
        <w:rPr>
          <w:rFonts w:ascii="Arial" w:eastAsia="Arial" w:hAnsi="Arial" w:cs="Arial"/>
        </w:rPr>
        <w:t>Type 2 diabetes mellitus (DM2) is a prevalent public health issue, with projections estimating 630 million patients with this diagnosis by 2045. Complications due to poorly managed DM2 contribute significantly to health costs</w:t>
      </w:r>
      <w:r w:rsidR="008B0545">
        <w:rPr>
          <w:rFonts w:ascii="Arial" w:eastAsia="Arial" w:hAnsi="Arial" w:cs="Arial"/>
        </w:rPr>
        <w:t>.1</w:t>
      </w:r>
      <w:r w:rsidRPr="00233256">
        <w:rPr>
          <w:rFonts w:ascii="Arial" w:eastAsia="Arial" w:hAnsi="Arial" w:cs="Arial"/>
        </w:rPr>
        <w:t xml:space="preserve"> Poor glycemic control in patients with DM2 elevates the risk of cardiovascular disease (CAD), shortens life expectancy, increases target organ damage, incidence of heart failure (HF), and mortality from any cause.</w:t>
      </w:r>
      <w:r w:rsidR="008B0545">
        <w:rPr>
          <w:rFonts w:ascii="Arial" w:eastAsia="Arial" w:hAnsi="Arial" w:cs="Arial"/>
        </w:rPr>
        <w:t>2</w:t>
      </w:r>
      <w:r w:rsidRPr="00233256">
        <w:rPr>
          <w:rFonts w:ascii="Arial" w:eastAsia="Arial" w:hAnsi="Arial" w:cs="Arial"/>
        </w:rPr>
        <w:t xml:space="preserve"> The study "Assessment of medical management in CORonary DiabEtic Type 2 patients at high risk of cardiovascular events" (ACORDE) evaluated major cardiovascular outcomes (MACE) in DM2 patients at high cardiovascular risk and marked a crucial milestone in medical management assessment. Since Rosiglitazone's adverse effects were studied, diabetes drugs must provide evidence in safety at this outcome.</w:t>
      </w:r>
      <w:r w:rsidR="008B0545">
        <w:rPr>
          <w:rFonts w:ascii="Arial" w:eastAsia="Arial" w:hAnsi="Arial" w:cs="Arial"/>
        </w:rPr>
        <w:t>3</w:t>
      </w:r>
      <w:r w:rsidR="00136D32">
        <w:rPr>
          <w:rFonts w:ascii="Arial" w:eastAsia="Arial" w:hAnsi="Arial" w:cs="Arial"/>
        </w:rPr>
        <w:t xml:space="preserve"> </w:t>
      </w:r>
      <w:r w:rsidR="00800B88" w:rsidRPr="00800B88">
        <w:rPr>
          <w:rFonts w:ascii="Arial" w:eastAsia="Arial" w:hAnsi="Arial" w:cs="Arial"/>
        </w:rPr>
        <w:t>Sodium-glucose cotransporter 2 (ISGLT2) inhibitors represent the latest oral therapy class used in treating DM2. Canagliflozin, dapagliflozin, empagliflozin, and ertugliflozin act on the proximal convoluted tubules by inhibiting glucose reabsorption, leading to reduced glycosuria and serum glucose levels.</w:t>
      </w:r>
      <w:r w:rsidR="00EB3DD7">
        <w:rPr>
          <w:rFonts w:ascii="Arial" w:eastAsia="Arial" w:hAnsi="Arial" w:cs="Arial"/>
        </w:rPr>
        <w:t>4</w:t>
      </w:r>
      <w:r w:rsidR="00800B88" w:rsidRPr="00800B88">
        <w:rPr>
          <w:rFonts w:ascii="Arial" w:eastAsia="Arial" w:hAnsi="Arial" w:cs="Arial"/>
        </w:rPr>
        <w:t xml:space="preserve"> This sustained reduction in blood and plasma volume potentially slows down the progression of kidney damage and reduces blood pressure levels, benefiting the protection of chronic kidney disease (CKD) and heart failure (HF)</w:t>
      </w:r>
      <w:r w:rsidR="00EB3DD7">
        <w:rPr>
          <w:rFonts w:ascii="Arial" w:eastAsia="Arial" w:hAnsi="Arial" w:cs="Arial"/>
        </w:rPr>
        <w:t>.</w:t>
      </w:r>
      <w:r w:rsidR="00800B88" w:rsidRPr="00800B88">
        <w:rPr>
          <w:rFonts w:ascii="Arial" w:eastAsia="Arial" w:hAnsi="Arial" w:cs="Arial"/>
        </w:rPr>
        <w:t>5</w:t>
      </w:r>
      <w:r w:rsidR="00EB3DD7">
        <w:rPr>
          <w:rFonts w:ascii="Arial" w:eastAsia="Arial" w:hAnsi="Arial" w:cs="Arial"/>
        </w:rPr>
        <w:t>-</w:t>
      </w:r>
      <w:r w:rsidR="00800B88" w:rsidRPr="00800B88">
        <w:rPr>
          <w:rFonts w:ascii="Arial" w:eastAsia="Arial" w:hAnsi="Arial" w:cs="Arial"/>
        </w:rPr>
        <w:t>6</w:t>
      </w:r>
    </w:p>
    <w:p w14:paraId="16EEAA83" w14:textId="3076E93D" w:rsidR="00DF6A7E" w:rsidRPr="00116FCC" w:rsidRDefault="00800B88" w:rsidP="00136D32">
      <w:pPr>
        <w:spacing w:line="360" w:lineRule="auto"/>
        <w:ind w:firstLine="567"/>
        <w:jc w:val="both"/>
        <w:rPr>
          <w:rFonts w:ascii="Arial" w:eastAsia="Arial" w:hAnsi="Arial" w:cs="Arial"/>
        </w:rPr>
      </w:pPr>
      <w:r w:rsidRPr="00800B88">
        <w:rPr>
          <w:rFonts w:ascii="Arial" w:eastAsia="Arial" w:hAnsi="Arial" w:cs="Arial"/>
        </w:rPr>
        <w:t>The studies "Empagliflozin, Cardiovascular Outcomes, and Mortality in Type 2 Diabetes" (EMPAREG), "Canagliflozin and Cardiovascular and Renal Events in Type 2 Diabetes" (CANVAS PROGRAM), "Dapagliflozin Outcomes in Type 2 Diabetes" (DE-CLARE-TIMI) and "Cardiovascular Outcomes with Ertugliflozin in Type 2 Diabetes" (VERTIS CV), have suggested potential cardiovascular advantages linked to these medications for patients with type 2 diabetes. Further research is required to establish their efficacy for the overall diabetic population</w:t>
      </w:r>
      <w:r w:rsidR="00EB3DD7">
        <w:rPr>
          <w:rFonts w:ascii="Arial" w:eastAsia="Arial" w:hAnsi="Arial" w:cs="Arial"/>
        </w:rPr>
        <w:t>.7</w:t>
      </w:r>
      <w:r w:rsidR="00136D32">
        <w:rPr>
          <w:rFonts w:ascii="Arial" w:eastAsia="Arial" w:hAnsi="Arial" w:cs="Arial"/>
        </w:rPr>
        <w:t xml:space="preserve"> </w:t>
      </w:r>
      <w:r w:rsidR="00D8413F" w:rsidRPr="00D8413F">
        <w:rPr>
          <w:rFonts w:ascii="Arial" w:eastAsia="Arial" w:hAnsi="Arial" w:cs="Arial"/>
        </w:rPr>
        <w:t>Chronic kidney disease (CKD), characterized by a reduced glomerular filtration rate (GFR) and microalbuminuria, is a complication that affects more than 35% of patients with diabetes. Recent studies, including "Empagliflozin in Patients with Chronic Kidney Disease" (EMPA-KIDNEY), suggest that there may be an additional benefit to using ISGLT2. Elevated HbA1c is one of the primary risk factors for all-cause mortality and diabetes-related complications and reducing it in DM2 patients is an important goal</w:t>
      </w:r>
      <w:r w:rsidR="00EB3DD7">
        <w:rPr>
          <w:rFonts w:ascii="Arial" w:eastAsia="Arial" w:hAnsi="Arial" w:cs="Arial"/>
        </w:rPr>
        <w:t>.5-6-7-8</w:t>
      </w:r>
      <w:r w:rsidR="00136D32">
        <w:rPr>
          <w:rFonts w:ascii="Arial" w:eastAsia="Arial" w:hAnsi="Arial" w:cs="Arial"/>
        </w:rPr>
        <w:t xml:space="preserve"> </w:t>
      </w:r>
      <w:r w:rsidR="00D8413F" w:rsidRPr="00D8413F">
        <w:rPr>
          <w:rFonts w:ascii="Arial" w:eastAsia="Arial" w:hAnsi="Arial" w:cs="Arial"/>
        </w:rPr>
        <w:t xml:space="preserve">This meta-analysis aims to assess the effectiveness of ISGLT2 in managing diabetes, </w:t>
      </w:r>
      <w:r w:rsidR="00D8413F" w:rsidRPr="00D8413F">
        <w:rPr>
          <w:rFonts w:ascii="Arial" w:eastAsia="Arial" w:hAnsi="Arial" w:cs="Arial"/>
        </w:rPr>
        <w:lastRenderedPageBreak/>
        <w:t>reducing HbA1C levels, and minimizing the relative risk of MACE, while also evaluating safety and both serious and non-serious adverse effects.</w:t>
      </w:r>
    </w:p>
    <w:p w14:paraId="5D100F46" w14:textId="77777777" w:rsidR="007B2067" w:rsidRPr="008F2302" w:rsidRDefault="007B2067" w:rsidP="002341DE">
      <w:pPr>
        <w:jc w:val="both"/>
        <w:rPr>
          <w:rFonts w:ascii="Arial" w:hAnsi="Arial" w:cs="Arial"/>
          <w:szCs w:val="20"/>
        </w:rPr>
      </w:pPr>
    </w:p>
    <w:p w14:paraId="4C26C64C" w14:textId="1BF73AE0" w:rsidR="00350A34" w:rsidRPr="00D6702E" w:rsidRDefault="0048246B" w:rsidP="0048246B">
      <w:pPr>
        <w:shd w:val="clear" w:color="auto" w:fill="4F81BD" w:themeFill="accent1"/>
        <w:rPr>
          <w:rFonts w:ascii="Arial" w:hAnsi="Arial" w:cs="Arial"/>
          <w:b/>
          <w:color w:val="FFFFFF" w:themeColor="background1"/>
        </w:rPr>
      </w:pPr>
      <w:r>
        <w:rPr>
          <w:rFonts w:ascii="Arial" w:hAnsi="Arial" w:cs="Arial"/>
          <w:b/>
          <w:color w:val="FFFFFF" w:themeColor="background1"/>
        </w:rPr>
        <w:t xml:space="preserve">2. </w:t>
      </w:r>
      <w:r w:rsidR="00D6702E" w:rsidRPr="00D6702E">
        <w:rPr>
          <w:rFonts w:ascii="Arial" w:hAnsi="Arial" w:cs="Arial"/>
          <w:b/>
          <w:color w:val="FFFFFF" w:themeColor="background1"/>
        </w:rPr>
        <w:t>M</w:t>
      </w:r>
      <w:r w:rsidR="003E79CF">
        <w:rPr>
          <w:rFonts w:ascii="Arial" w:hAnsi="Arial" w:cs="Arial"/>
          <w:b/>
          <w:color w:val="FFFFFF" w:themeColor="background1"/>
        </w:rPr>
        <w:t>ATERIA</w:t>
      </w:r>
      <w:r w:rsidR="000F3C15">
        <w:rPr>
          <w:rFonts w:ascii="Arial" w:hAnsi="Arial" w:cs="Arial"/>
          <w:b/>
          <w:color w:val="FFFFFF" w:themeColor="background1"/>
        </w:rPr>
        <w:t>L</w:t>
      </w:r>
      <w:r w:rsidR="003E79CF">
        <w:rPr>
          <w:rFonts w:ascii="Arial" w:hAnsi="Arial" w:cs="Arial"/>
          <w:b/>
          <w:color w:val="FFFFFF" w:themeColor="background1"/>
        </w:rPr>
        <w:t xml:space="preserve"> </w:t>
      </w:r>
      <w:r w:rsidR="000F3C15">
        <w:rPr>
          <w:rFonts w:ascii="Arial" w:hAnsi="Arial" w:cs="Arial"/>
          <w:b/>
          <w:color w:val="FFFFFF" w:themeColor="background1"/>
        </w:rPr>
        <w:t>AND</w:t>
      </w:r>
      <w:r w:rsidR="003E79CF">
        <w:rPr>
          <w:rFonts w:ascii="Arial" w:hAnsi="Arial" w:cs="Arial"/>
          <w:b/>
          <w:color w:val="FFFFFF" w:themeColor="background1"/>
        </w:rPr>
        <w:t xml:space="preserve"> M</w:t>
      </w:r>
      <w:r w:rsidR="000F3C15">
        <w:rPr>
          <w:rFonts w:ascii="Arial" w:hAnsi="Arial" w:cs="Arial"/>
          <w:b/>
          <w:color w:val="FFFFFF" w:themeColor="background1"/>
        </w:rPr>
        <w:t>ETHODS</w:t>
      </w:r>
    </w:p>
    <w:p w14:paraId="06923199" w14:textId="77777777" w:rsidR="00D122E3" w:rsidRPr="008F2302" w:rsidRDefault="00D122E3" w:rsidP="00D122E3">
      <w:pPr>
        <w:pStyle w:val="Corpodetexto"/>
        <w:spacing w:line="240" w:lineRule="auto"/>
        <w:ind w:firstLine="567"/>
        <w:rPr>
          <w:rFonts w:cs="Arial"/>
          <w:b/>
        </w:rPr>
      </w:pPr>
    </w:p>
    <w:p w14:paraId="2BB125DB" w14:textId="101222D4" w:rsidR="00852665" w:rsidRPr="00852665" w:rsidRDefault="00852665" w:rsidP="00BD1484">
      <w:pPr>
        <w:spacing w:line="360" w:lineRule="auto"/>
        <w:ind w:firstLine="567"/>
        <w:jc w:val="both"/>
        <w:rPr>
          <w:rFonts w:ascii="Arial" w:eastAsia="Arial" w:hAnsi="Arial" w:cs="Arial"/>
        </w:rPr>
      </w:pPr>
      <w:r w:rsidRPr="00852665">
        <w:rPr>
          <w:rFonts w:ascii="Arial" w:eastAsia="Arial" w:hAnsi="Arial" w:cs="Arial"/>
        </w:rPr>
        <w:t>The systematic review was conducted following the Cochrane Handbook for Systematic Reviews of Interventions and AMSTAR-2 (Assessing the Methodological Quality of Systematic Reviews) guideline. The systematic review adhered to the recommendations of the Preferred Reporting Items for Systematic Reviews and Me-ta-Analyses (PRISMA). Additionally, the research protocol was registered with the International Prospective Register of Systematic Reviews (PROSPERO)</w:t>
      </w:r>
      <w:r w:rsidR="00184479">
        <w:rPr>
          <w:rFonts w:ascii="Arial" w:eastAsia="Arial" w:hAnsi="Arial" w:cs="Arial"/>
        </w:rPr>
        <w:t>.9-10-11</w:t>
      </w:r>
      <w:r w:rsidR="00BD1484">
        <w:rPr>
          <w:rFonts w:ascii="Arial" w:eastAsia="Arial" w:hAnsi="Arial" w:cs="Arial"/>
        </w:rPr>
        <w:t xml:space="preserve"> </w:t>
      </w:r>
      <w:r w:rsidRPr="00852665">
        <w:rPr>
          <w:rFonts w:ascii="Arial" w:eastAsia="Arial" w:hAnsi="Arial" w:cs="Arial"/>
        </w:rPr>
        <w:t>The objective of the review was to determine the effectiveness and safety of ISGLT2 in treating adult patients with DM2. The goal of the review was to determine the effectiveness and safety of ISGLT2 in treating adult patients with DM2. The search strategy followed the PICOS framework.</w:t>
      </w:r>
    </w:p>
    <w:p w14:paraId="584C1456" w14:textId="66D19A17" w:rsidR="00852665" w:rsidRDefault="00852665" w:rsidP="00B21529">
      <w:pPr>
        <w:spacing w:line="360" w:lineRule="auto"/>
        <w:ind w:firstLine="567"/>
        <w:jc w:val="both"/>
        <w:rPr>
          <w:rFonts w:ascii="Arial" w:eastAsia="Arial" w:hAnsi="Arial" w:cs="Arial"/>
        </w:rPr>
      </w:pPr>
      <w:r w:rsidRPr="00852665">
        <w:rPr>
          <w:rFonts w:ascii="Arial" w:eastAsia="Arial" w:hAnsi="Arial" w:cs="Arial"/>
        </w:rPr>
        <w:t>Populat</w:t>
      </w:r>
      <w:r w:rsidR="00BD1484">
        <w:rPr>
          <w:rFonts w:ascii="Arial" w:eastAsia="Arial" w:hAnsi="Arial" w:cs="Arial"/>
        </w:rPr>
        <w:t xml:space="preserve">ion: </w:t>
      </w:r>
      <w:r w:rsidRPr="00852665">
        <w:rPr>
          <w:rFonts w:ascii="Arial" w:eastAsia="Arial" w:hAnsi="Arial" w:cs="Arial"/>
        </w:rPr>
        <w:t>This study aims to evaluate the effectiveness of ISGLT2 in treating type 2 diabetes among patients aged 18 and older. Studies involving patients with type 1 diabetes and those under 18 years old were excluded. Intervention: ISGLT2. Comparison: Placebo, other active drugs, and/or therapeutic regimens used to treat T2DM. Outcomes: The primary outcomes will be HBA1C, MACE, diabetes control, adverse events, and serious adverse events. Studies: Only randomized clinical trials published between January 2014 and October 2022 were considered.</w:t>
      </w:r>
    </w:p>
    <w:p w14:paraId="26976044" w14:textId="77777777" w:rsidR="007C7116" w:rsidRPr="009A474C" w:rsidRDefault="007C7116" w:rsidP="007C7116">
      <w:pPr>
        <w:spacing w:line="360" w:lineRule="auto"/>
        <w:ind w:firstLine="567"/>
        <w:jc w:val="both"/>
        <w:rPr>
          <w:rFonts w:ascii="Arial" w:eastAsia="Arial" w:hAnsi="Arial" w:cs="Arial"/>
          <w:b/>
          <w:bCs/>
        </w:rPr>
      </w:pPr>
      <w:r w:rsidRPr="009A474C">
        <w:rPr>
          <w:rFonts w:ascii="Arial" w:eastAsia="Arial" w:hAnsi="Arial" w:cs="Arial"/>
          <w:b/>
          <w:bCs/>
        </w:rPr>
        <w:t xml:space="preserve">2.1. Exclusion criteria </w:t>
      </w:r>
    </w:p>
    <w:p w14:paraId="1854DD35" w14:textId="77777777" w:rsidR="007C7116" w:rsidRPr="007C7116" w:rsidRDefault="007C7116" w:rsidP="007C7116">
      <w:pPr>
        <w:spacing w:line="360" w:lineRule="auto"/>
        <w:ind w:firstLine="567"/>
        <w:jc w:val="both"/>
        <w:rPr>
          <w:rFonts w:ascii="Arial" w:eastAsia="Arial" w:hAnsi="Arial" w:cs="Arial"/>
        </w:rPr>
      </w:pPr>
      <w:r w:rsidRPr="007C7116">
        <w:rPr>
          <w:rFonts w:ascii="Arial" w:eastAsia="Arial" w:hAnsi="Arial" w:cs="Arial"/>
        </w:rPr>
        <w:t>For this systematic review and meta-analysis, observational studies, cohort studies, scientific reviews and meta-analyses, and phase 1 and phase 2 clinical trials evaluating the use of ISGLT2 in T2DM were excluded. Studies that involved non-diabetic individuals or those with type 1 diabetes were also excluded. Additionally, studies that included patients under the age of 18 were deemed ineligible for inclusion in this systematic review and meta-analysis.</w:t>
      </w:r>
    </w:p>
    <w:p w14:paraId="0AB6FF31" w14:textId="77777777" w:rsidR="007C7116" w:rsidRPr="009A474C" w:rsidRDefault="007C7116" w:rsidP="007C7116">
      <w:pPr>
        <w:spacing w:line="360" w:lineRule="auto"/>
        <w:ind w:firstLine="567"/>
        <w:jc w:val="both"/>
        <w:rPr>
          <w:rFonts w:ascii="Arial" w:eastAsia="Arial" w:hAnsi="Arial" w:cs="Arial"/>
          <w:b/>
          <w:bCs/>
        </w:rPr>
      </w:pPr>
      <w:r w:rsidRPr="009A474C">
        <w:rPr>
          <w:rFonts w:ascii="Arial" w:eastAsia="Arial" w:hAnsi="Arial" w:cs="Arial"/>
          <w:b/>
          <w:bCs/>
        </w:rPr>
        <w:t>2.2 Search Strategy</w:t>
      </w:r>
    </w:p>
    <w:p w14:paraId="2968B279" w14:textId="77777777" w:rsidR="007C7116" w:rsidRPr="007C7116" w:rsidRDefault="007C7116" w:rsidP="007C7116">
      <w:pPr>
        <w:spacing w:line="360" w:lineRule="auto"/>
        <w:ind w:firstLine="567"/>
        <w:jc w:val="both"/>
        <w:rPr>
          <w:rFonts w:ascii="Arial" w:eastAsia="Arial" w:hAnsi="Arial" w:cs="Arial"/>
        </w:rPr>
      </w:pPr>
      <w:r w:rsidRPr="007C7116">
        <w:rPr>
          <w:rFonts w:ascii="Arial" w:eastAsia="Arial" w:hAnsi="Arial" w:cs="Arial"/>
        </w:rPr>
        <w:t xml:space="preserve">A systematic search was conducted in the Cochrane Central Register of Controlled Trials (CENTRAL), Medical Literature Analysis and Retrieval System Online (MEDLINE) through PubMed, Excerpta Medical Database (EMBASE), and Latin American and </w:t>
      </w:r>
      <w:r w:rsidRPr="007C7116">
        <w:rPr>
          <w:rFonts w:ascii="Arial" w:eastAsia="Arial" w:hAnsi="Arial" w:cs="Arial"/>
        </w:rPr>
        <w:lastRenderedPageBreak/>
        <w:t>Caribbean Health Sciences Literature (LILACS) databases. The search was broadened to encompass gray literature and other types of database research.</w:t>
      </w:r>
    </w:p>
    <w:p w14:paraId="3093A439" w14:textId="5CF614BC" w:rsidR="007C7116" w:rsidRPr="009A474C" w:rsidRDefault="007C7116" w:rsidP="007C7116">
      <w:pPr>
        <w:spacing w:line="360" w:lineRule="auto"/>
        <w:ind w:firstLine="567"/>
        <w:jc w:val="both"/>
        <w:rPr>
          <w:rFonts w:ascii="Arial" w:eastAsia="Arial" w:hAnsi="Arial" w:cs="Arial"/>
          <w:b/>
          <w:bCs/>
        </w:rPr>
      </w:pPr>
      <w:r w:rsidRPr="009A474C">
        <w:rPr>
          <w:rFonts w:ascii="Arial" w:eastAsia="Arial" w:hAnsi="Arial" w:cs="Arial"/>
          <w:b/>
          <w:bCs/>
        </w:rPr>
        <w:t>2.3 Selection of studies</w:t>
      </w:r>
    </w:p>
    <w:p w14:paraId="7B3C35EC" w14:textId="37497056" w:rsidR="007C7116" w:rsidRDefault="007C7116" w:rsidP="00F046DF">
      <w:pPr>
        <w:spacing w:line="360" w:lineRule="auto"/>
        <w:ind w:firstLine="567"/>
        <w:jc w:val="both"/>
        <w:rPr>
          <w:rFonts w:ascii="Arial" w:eastAsia="Arial" w:hAnsi="Arial" w:cs="Arial"/>
        </w:rPr>
      </w:pPr>
      <w:r w:rsidRPr="007C7116">
        <w:rPr>
          <w:rFonts w:ascii="Arial" w:eastAsia="Arial" w:hAnsi="Arial" w:cs="Arial"/>
        </w:rPr>
        <w:t>The selection process employed the online application Rayyan, using the duplicates saved on the One Drive. A flowchart relevant to PRISMA was adapted to summarize the study selection process adhering to the Cochrane Handbook guidelines (Santos et al., 2007; Aromataris &amp; Pearson, 2014). This meta-analysis included 7 randomized controlled trials (RCTs): CANTATA-M®, CANTATA-MP®, EMPAREG®, CANVAS PROGRAM®, CREDENCE®, DECLARE®, and VERTIS®. The study exclusion criteria and search strategy are shown below in Figure 1.</w:t>
      </w:r>
    </w:p>
    <w:p w14:paraId="50BF3A98" w14:textId="7E695E5D" w:rsidR="00E36696" w:rsidRDefault="00195C06" w:rsidP="00357487">
      <w:pPr>
        <w:spacing w:line="360" w:lineRule="auto"/>
        <w:ind w:firstLine="567"/>
        <w:jc w:val="both"/>
        <w:rPr>
          <w:rFonts w:ascii="Arial" w:eastAsia="Arial" w:hAnsi="Arial" w:cs="Arial"/>
          <w:b/>
          <w:bCs/>
        </w:rPr>
      </w:pPr>
      <w:r>
        <w:rPr>
          <w:noProof/>
        </w:rPr>
        <w:drawing>
          <wp:anchor distT="0" distB="0" distL="114300" distR="114300" simplePos="0" relativeHeight="251667456" behindDoc="0" locked="0" layoutInCell="1" allowOverlap="1" wp14:anchorId="62AB9563" wp14:editId="1EEA0FDB">
            <wp:simplePos x="0" y="0"/>
            <wp:positionH relativeFrom="column">
              <wp:posOffset>640080</wp:posOffset>
            </wp:positionH>
            <wp:positionV relativeFrom="paragraph">
              <wp:posOffset>106045</wp:posOffset>
            </wp:positionV>
            <wp:extent cx="4726940" cy="4490720"/>
            <wp:effectExtent l="0" t="0" r="0" b="5080"/>
            <wp:wrapTopAndBottom/>
            <wp:docPr id="11481045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0455" name="Imagem 11481045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726940" cy="4490720"/>
                    </a:xfrm>
                    <a:prstGeom prst="rect">
                      <a:avLst/>
                    </a:prstGeom>
                  </pic:spPr>
                </pic:pic>
              </a:graphicData>
            </a:graphic>
            <wp14:sizeRelH relativeFrom="margin">
              <wp14:pctWidth>0</wp14:pctWidth>
            </wp14:sizeRelH>
            <wp14:sizeRelV relativeFrom="margin">
              <wp14:pctHeight>0</wp14:pctHeight>
            </wp14:sizeRelV>
          </wp:anchor>
        </w:drawing>
      </w:r>
    </w:p>
    <w:p w14:paraId="1A8F7B9E" w14:textId="3EF7B345" w:rsidR="00E36696" w:rsidRDefault="00195C06" w:rsidP="004735F4">
      <w:pPr>
        <w:spacing w:line="360" w:lineRule="auto"/>
        <w:ind w:firstLine="567"/>
        <w:jc w:val="center"/>
        <w:rPr>
          <w:rFonts w:ascii="Arial" w:eastAsia="Arial" w:hAnsi="Arial" w:cs="Arial"/>
          <w:b/>
          <w:bCs/>
        </w:rPr>
      </w:pPr>
      <w:r>
        <w:rPr>
          <w:rFonts w:ascii="Arial" w:eastAsia="Arial" w:hAnsi="Arial" w:cs="Arial"/>
          <w:b/>
          <w:bCs/>
        </w:rPr>
        <w:t xml:space="preserve">Figure 1.  </w:t>
      </w:r>
      <w:r w:rsidRPr="004735F4">
        <w:rPr>
          <w:rFonts w:ascii="Arial" w:eastAsia="Arial" w:hAnsi="Arial" w:cs="Arial"/>
        </w:rPr>
        <w:t>FLOWCHART 1 PRISMA</w:t>
      </w:r>
    </w:p>
    <w:p w14:paraId="619C41B6" w14:textId="77777777" w:rsidR="00E36696" w:rsidRDefault="00E36696" w:rsidP="004735F4">
      <w:pPr>
        <w:spacing w:line="360" w:lineRule="auto"/>
        <w:jc w:val="both"/>
        <w:rPr>
          <w:rFonts w:ascii="Arial" w:eastAsia="Arial" w:hAnsi="Arial" w:cs="Arial"/>
          <w:b/>
          <w:bCs/>
        </w:rPr>
      </w:pPr>
    </w:p>
    <w:p w14:paraId="48033335" w14:textId="0D5A708B" w:rsidR="00357487" w:rsidRPr="003C2445" w:rsidRDefault="00357487" w:rsidP="00357487">
      <w:pPr>
        <w:spacing w:line="360" w:lineRule="auto"/>
        <w:ind w:firstLine="567"/>
        <w:jc w:val="both"/>
        <w:rPr>
          <w:rFonts w:ascii="Arial" w:eastAsia="Arial" w:hAnsi="Arial" w:cs="Arial"/>
          <w:b/>
          <w:bCs/>
        </w:rPr>
      </w:pPr>
      <w:r w:rsidRPr="003C2445">
        <w:rPr>
          <w:rFonts w:ascii="Arial" w:eastAsia="Arial" w:hAnsi="Arial" w:cs="Arial"/>
          <w:b/>
          <w:bCs/>
        </w:rPr>
        <w:t>2.4 Data extraction</w:t>
      </w:r>
    </w:p>
    <w:p w14:paraId="3DD06414" w14:textId="76344860" w:rsidR="00357487" w:rsidRPr="00357487" w:rsidRDefault="00357487" w:rsidP="00357487">
      <w:pPr>
        <w:spacing w:line="360" w:lineRule="auto"/>
        <w:ind w:firstLine="567"/>
        <w:jc w:val="both"/>
        <w:rPr>
          <w:rFonts w:ascii="Arial" w:eastAsia="Arial" w:hAnsi="Arial" w:cs="Arial"/>
        </w:rPr>
      </w:pPr>
      <w:r w:rsidRPr="00357487">
        <w:rPr>
          <w:rFonts w:ascii="Arial" w:eastAsia="Arial" w:hAnsi="Arial" w:cs="Arial"/>
        </w:rPr>
        <w:lastRenderedPageBreak/>
        <w:t>The extraction of the data was carried out by two independent reviewers and checked by a third. The extracted data were stored in a Microsoft Excel® spreadsheet, and the data were evaluated individually in non-categorical analyses</w:t>
      </w:r>
      <w:r w:rsidR="00663421">
        <w:rPr>
          <w:rFonts w:ascii="Arial" w:eastAsia="Arial" w:hAnsi="Arial" w:cs="Arial"/>
        </w:rPr>
        <w:t>.14-15</w:t>
      </w:r>
    </w:p>
    <w:p w14:paraId="7E9C1559" w14:textId="77777777" w:rsidR="00357487" w:rsidRPr="003C2445" w:rsidRDefault="00357487" w:rsidP="00357487">
      <w:pPr>
        <w:spacing w:line="360" w:lineRule="auto"/>
        <w:ind w:firstLine="567"/>
        <w:jc w:val="both"/>
        <w:rPr>
          <w:rFonts w:ascii="Arial" w:eastAsia="Arial" w:hAnsi="Arial" w:cs="Arial"/>
          <w:b/>
          <w:bCs/>
        </w:rPr>
      </w:pPr>
      <w:r w:rsidRPr="003C2445">
        <w:rPr>
          <w:rFonts w:ascii="Arial" w:eastAsia="Arial" w:hAnsi="Arial" w:cs="Arial"/>
          <w:b/>
          <w:bCs/>
        </w:rPr>
        <w:t>2.5 Critical appraisal and risk of bias of the included studies</w:t>
      </w:r>
    </w:p>
    <w:p w14:paraId="2E3BC4B9" w14:textId="659C5DB4" w:rsidR="00357487" w:rsidRPr="00357487" w:rsidRDefault="00357487" w:rsidP="00F046DF">
      <w:pPr>
        <w:spacing w:line="360" w:lineRule="auto"/>
        <w:ind w:firstLine="567"/>
        <w:jc w:val="both"/>
        <w:rPr>
          <w:rFonts w:ascii="Arial" w:eastAsia="Arial" w:hAnsi="Arial" w:cs="Arial"/>
        </w:rPr>
      </w:pPr>
      <w:r w:rsidRPr="00357487">
        <w:rPr>
          <w:rFonts w:ascii="Arial" w:eastAsia="Arial" w:hAnsi="Arial" w:cs="Arial"/>
        </w:rPr>
        <w:t>The methodological quality and/or risk of bias of the included studies was assessed by two independent reviewers (H.B.F. and L.M.D.) using the ROB 2® tool for randomized clinical trials.Presentation of results and measures of treatment effect and assessment of quality of evidence</w:t>
      </w:r>
      <w:r w:rsidR="003122AA">
        <w:rPr>
          <w:rFonts w:ascii="Arial" w:eastAsia="Arial" w:hAnsi="Arial" w:cs="Arial"/>
        </w:rPr>
        <w:t>.</w:t>
      </w:r>
      <w:r w:rsidRPr="00357487">
        <w:rPr>
          <w:rFonts w:ascii="Arial" w:eastAsia="Arial" w:hAnsi="Arial" w:cs="Arial"/>
        </w:rPr>
        <w:t xml:space="preserve"> The relative risk (RR) is used to estimate the effect size of dichotomous or time-to-event variables, taking into account a 95% confidence interval. For continuous analyses, the difference between means was used. Meta-analyses were performed using Review Manager 5.3® software (RevMan 5.3). The Grading of Recommendations, Assessment, Development and Evaluation (GRADE®) system and the GRADEpro GDT® platform were used to assess the quality of evidence for outcomes included in meta-analyses [16]. Statistical heterogeneity was assessed using chi-square and I2 statistical tests. An I2 value of 0-40% is considered nonsignificant, 30-60% is considered moderate heterogeneity, 50-90% is considered substantial heterogeneity, and 75-100% is considered significant.</w:t>
      </w:r>
    </w:p>
    <w:p w14:paraId="45F6B8A9" w14:textId="77777777" w:rsidR="00357487" w:rsidRPr="003C2445" w:rsidRDefault="00357487" w:rsidP="00357487">
      <w:pPr>
        <w:spacing w:line="360" w:lineRule="auto"/>
        <w:ind w:firstLine="567"/>
        <w:jc w:val="both"/>
        <w:rPr>
          <w:rFonts w:ascii="Arial" w:eastAsia="Arial" w:hAnsi="Arial" w:cs="Arial"/>
          <w:b/>
          <w:bCs/>
        </w:rPr>
      </w:pPr>
      <w:r w:rsidRPr="003C2445">
        <w:rPr>
          <w:rFonts w:ascii="Arial" w:eastAsia="Arial" w:hAnsi="Arial" w:cs="Arial"/>
          <w:b/>
          <w:bCs/>
        </w:rPr>
        <w:t>2.6 Ethical Considerations</w:t>
      </w:r>
    </w:p>
    <w:p w14:paraId="509D55A7" w14:textId="664183E9" w:rsidR="008B0545" w:rsidRPr="003574E9" w:rsidRDefault="00357487" w:rsidP="00B21529">
      <w:pPr>
        <w:spacing w:line="360" w:lineRule="auto"/>
        <w:ind w:firstLine="567"/>
        <w:jc w:val="both"/>
        <w:rPr>
          <w:rFonts w:ascii="Arial" w:eastAsia="Arial" w:hAnsi="Arial" w:cs="Arial"/>
        </w:rPr>
      </w:pPr>
      <w:r w:rsidRPr="00357487">
        <w:rPr>
          <w:rFonts w:ascii="Arial" w:eastAsia="Arial" w:hAnsi="Arial" w:cs="Arial"/>
        </w:rPr>
        <w:t xml:space="preserve"> No research was conducted on human subjects, and no confidential, institutional, or personal information was used. All research was based on data from studies published in electronic databases. This research project was registered in PROSPERO under the registration number CRD42022362775 on October 14, 2022. None of the authors of this meta-analysis has any conflict of interest regarding this research or has received any type of sponsorship for it.</w:t>
      </w:r>
    </w:p>
    <w:p w14:paraId="62780EBA" w14:textId="77777777" w:rsidR="00D122E3" w:rsidRDefault="00D122E3" w:rsidP="003C2445">
      <w:pPr>
        <w:jc w:val="both"/>
        <w:rPr>
          <w:rFonts w:cs="Arial"/>
          <w:b/>
        </w:rPr>
      </w:pPr>
      <w:r w:rsidRPr="00B55B77">
        <w:rPr>
          <w:rFonts w:ascii="Arial" w:hAnsi="Arial" w:cs="Arial"/>
          <w:color w:val="000000"/>
          <w:sz w:val="20"/>
          <w:szCs w:val="20"/>
        </w:rPr>
        <w:t xml:space="preserve"> </w:t>
      </w:r>
    </w:p>
    <w:p w14:paraId="32D9D3E8" w14:textId="4D4EE724" w:rsidR="00405C0B" w:rsidRPr="00D6702E" w:rsidRDefault="00B035D1" w:rsidP="00B035D1">
      <w:pPr>
        <w:shd w:val="clear" w:color="auto" w:fill="4F81BD" w:themeFill="accent1"/>
        <w:rPr>
          <w:rFonts w:ascii="Arial" w:hAnsi="Arial" w:cs="Arial"/>
          <w:b/>
          <w:color w:val="FFFFFF" w:themeColor="background1"/>
        </w:rPr>
      </w:pPr>
      <w:r>
        <w:rPr>
          <w:rFonts w:ascii="Arial" w:hAnsi="Arial" w:cs="Arial"/>
          <w:b/>
          <w:color w:val="FFFFFF" w:themeColor="background1"/>
        </w:rPr>
        <w:t xml:space="preserve">3. </w:t>
      </w:r>
      <w:r w:rsidR="008F6868">
        <w:rPr>
          <w:rFonts w:ascii="Arial" w:hAnsi="Arial" w:cs="Arial"/>
          <w:b/>
          <w:color w:val="FFFFFF" w:themeColor="background1"/>
        </w:rPr>
        <w:t>RESULTS</w:t>
      </w:r>
    </w:p>
    <w:p w14:paraId="69A3390E" w14:textId="77777777" w:rsidR="00651574" w:rsidRPr="00AF1F37" w:rsidRDefault="00651574" w:rsidP="00610888">
      <w:pPr>
        <w:autoSpaceDE w:val="0"/>
        <w:autoSpaceDN w:val="0"/>
        <w:adjustRightInd w:val="0"/>
        <w:spacing w:line="360" w:lineRule="auto"/>
        <w:jc w:val="both"/>
        <w:rPr>
          <w:rFonts w:ascii="Arial" w:hAnsi="Arial" w:cs="Arial"/>
          <w:color w:val="000000"/>
          <w:sz w:val="16"/>
        </w:rPr>
      </w:pPr>
    </w:p>
    <w:p w14:paraId="4C21F212" w14:textId="0DE47119" w:rsidR="000C70D4" w:rsidRDefault="00631084" w:rsidP="00EF6614">
      <w:pPr>
        <w:autoSpaceDE w:val="0"/>
        <w:autoSpaceDN w:val="0"/>
        <w:adjustRightInd w:val="0"/>
        <w:spacing w:line="360" w:lineRule="auto"/>
        <w:ind w:firstLine="567"/>
        <w:jc w:val="both"/>
        <w:rPr>
          <w:rFonts w:ascii="Arial" w:hAnsi="Arial" w:cs="Arial"/>
          <w:color w:val="000000"/>
        </w:rPr>
      </w:pPr>
      <w:r w:rsidRPr="00631084">
        <w:rPr>
          <w:rFonts w:ascii="Arial" w:hAnsi="Arial" w:cs="Arial"/>
          <w:color w:val="000000"/>
        </w:rPr>
        <w:t>A total of 46,969 patients were included and with a follow-up of approximately 2,49 years. 66,85% were men. The mean age of those included in the study was 64,07, and 79,8% of them were white. The average HbA1C of the patients was 8,14% and with a reduction in their levels of 0,46%, which is equivalent to a reduction of approximately 5% of the baseline HbA1C level. 66,23% of the sample had established cardiovascular disease. The average time since diabetes diagnosis was 11,48 years.</w:t>
      </w:r>
    </w:p>
    <w:p w14:paraId="09E1B617" w14:textId="77777777" w:rsidR="000C70D4" w:rsidRDefault="000C70D4" w:rsidP="00B34B68">
      <w:pPr>
        <w:spacing w:line="360" w:lineRule="auto"/>
        <w:ind w:firstLine="567"/>
        <w:jc w:val="both"/>
        <w:rPr>
          <w:rFonts w:ascii="Arial" w:hAnsi="Arial" w:cs="Arial"/>
          <w:color w:val="000000"/>
        </w:rPr>
      </w:pPr>
      <w:r w:rsidRPr="000C70D4">
        <w:rPr>
          <w:rFonts w:ascii="Arial" w:hAnsi="Arial" w:cs="Arial"/>
          <w:color w:val="000000"/>
        </w:rPr>
        <w:lastRenderedPageBreak/>
        <w:t>High risk of bias in the RCTs resulted in publication bias. The quality of evidence regarding the outcomes analyzed in the meta-analysis was evaluated utilizing ROB 2® and depicted in the accompanying chart (Figura 2 and 3).</w:t>
      </w:r>
    </w:p>
    <w:p w14:paraId="62659727" w14:textId="6624A97C" w:rsidR="004735F4" w:rsidRDefault="00F21380" w:rsidP="00B34B68">
      <w:pPr>
        <w:spacing w:line="360" w:lineRule="auto"/>
        <w:ind w:firstLine="567"/>
        <w:jc w:val="both"/>
        <w:rPr>
          <w:rFonts w:ascii="Arial" w:hAnsi="Arial" w:cs="Arial"/>
          <w:color w:val="000000"/>
        </w:rPr>
      </w:pPr>
      <w:r>
        <w:rPr>
          <w:rFonts w:ascii="Arial" w:eastAsia="Arial" w:hAnsi="Arial" w:cs="Arial"/>
          <w:noProof/>
        </w:rPr>
        <w:drawing>
          <wp:anchor distT="0" distB="0" distL="114300" distR="114300" simplePos="0" relativeHeight="251665408" behindDoc="0" locked="0" layoutInCell="1" allowOverlap="1" wp14:anchorId="25AABAAE" wp14:editId="3A2BE277">
            <wp:simplePos x="0" y="0"/>
            <wp:positionH relativeFrom="column">
              <wp:posOffset>1765935</wp:posOffset>
            </wp:positionH>
            <wp:positionV relativeFrom="paragraph">
              <wp:posOffset>111125</wp:posOffset>
            </wp:positionV>
            <wp:extent cx="2691130" cy="3680460"/>
            <wp:effectExtent l="0" t="0" r="0" b="0"/>
            <wp:wrapTopAndBottom/>
            <wp:docPr id="11091873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18731" name="Imagem 110918731"/>
                    <pic:cNvPicPr/>
                  </pic:nvPicPr>
                  <pic:blipFill>
                    <a:blip r:embed="rId16">
                      <a:extLst>
                        <a:ext uri="{28A0092B-C50C-407E-A947-70E740481C1C}">
                          <a14:useLocalDpi xmlns:a14="http://schemas.microsoft.com/office/drawing/2010/main" val="0"/>
                        </a:ext>
                      </a:extLst>
                    </a:blip>
                    <a:stretch>
                      <a:fillRect/>
                    </a:stretch>
                  </pic:blipFill>
                  <pic:spPr>
                    <a:xfrm>
                      <a:off x="0" y="0"/>
                      <a:ext cx="2691130" cy="3680460"/>
                    </a:xfrm>
                    <a:prstGeom prst="rect">
                      <a:avLst/>
                    </a:prstGeom>
                  </pic:spPr>
                </pic:pic>
              </a:graphicData>
            </a:graphic>
            <wp14:sizeRelH relativeFrom="margin">
              <wp14:pctWidth>0</wp14:pctWidth>
            </wp14:sizeRelH>
            <wp14:sizeRelV relativeFrom="margin">
              <wp14:pctHeight>0</wp14:pctHeight>
            </wp14:sizeRelV>
          </wp:anchor>
        </w:drawing>
      </w:r>
    </w:p>
    <w:p w14:paraId="1D10428D" w14:textId="161788B0" w:rsidR="00F21380" w:rsidRDefault="00E45947" w:rsidP="00834998">
      <w:pPr>
        <w:spacing w:line="360" w:lineRule="auto"/>
        <w:ind w:firstLine="567"/>
        <w:jc w:val="center"/>
        <w:rPr>
          <w:rFonts w:ascii="Arial" w:hAnsi="Arial" w:cs="Arial"/>
          <w:color w:val="000000"/>
        </w:rPr>
      </w:pPr>
      <w:r w:rsidRPr="00E45947">
        <w:rPr>
          <w:rFonts w:ascii="Arial" w:hAnsi="Arial" w:cs="Arial"/>
          <w:b/>
          <w:bCs/>
          <w:color w:val="000000"/>
        </w:rPr>
        <w:t xml:space="preserve">Figure </w:t>
      </w:r>
      <w:r>
        <w:rPr>
          <w:rFonts w:ascii="Arial" w:hAnsi="Arial" w:cs="Arial"/>
          <w:b/>
          <w:bCs/>
          <w:color w:val="000000"/>
        </w:rPr>
        <w:t>2</w:t>
      </w:r>
      <w:r>
        <w:rPr>
          <w:rFonts w:ascii="Arial" w:hAnsi="Arial" w:cs="Arial"/>
          <w:color w:val="000000"/>
        </w:rPr>
        <w:t xml:space="preserve">. </w:t>
      </w:r>
      <w:r w:rsidR="00834998" w:rsidRPr="00834998">
        <w:rPr>
          <w:rFonts w:ascii="Arial" w:hAnsi="Arial" w:cs="Arial"/>
          <w:color w:val="000000"/>
        </w:rPr>
        <w:t xml:space="preserve"> Graph that summarizes the risk of bias based on the authors' judgment</w:t>
      </w:r>
      <w:r w:rsidR="00834998">
        <w:rPr>
          <w:rFonts w:ascii="Arial" w:hAnsi="Arial" w:cs="Arial"/>
          <w:color w:val="000000"/>
        </w:rPr>
        <w:t xml:space="preserve"> </w:t>
      </w:r>
      <w:r w:rsidR="00834998" w:rsidRPr="00834998">
        <w:rPr>
          <w:rFonts w:ascii="Arial" w:hAnsi="Arial" w:cs="Arial"/>
          <w:color w:val="000000"/>
        </w:rPr>
        <w:t>for each item of bias risk.</w:t>
      </w:r>
    </w:p>
    <w:p w14:paraId="7A71505D" w14:textId="60AC5573" w:rsidR="0041182A" w:rsidRPr="0041182A" w:rsidRDefault="0041182A" w:rsidP="005672E0">
      <w:pPr>
        <w:spacing w:line="360" w:lineRule="auto"/>
        <w:ind w:firstLine="567"/>
        <w:jc w:val="center"/>
        <w:rPr>
          <w:rFonts w:ascii="Arial" w:hAnsi="Arial" w:cs="Arial"/>
          <w:color w:val="000000"/>
          <w:sz w:val="20"/>
          <w:szCs w:val="20"/>
        </w:rPr>
      </w:pPr>
      <w:r w:rsidRPr="0041182A">
        <w:rPr>
          <w:rFonts w:ascii="Arial" w:hAnsi="Arial" w:cs="Arial"/>
          <w:color w:val="000000"/>
          <w:sz w:val="20"/>
          <w:szCs w:val="20"/>
        </w:rPr>
        <w:t>Risk of bias chart 1: The authors' evaluations of each potential source of bias in all</w:t>
      </w:r>
    </w:p>
    <w:p w14:paraId="0E0B27D2" w14:textId="1C255EA3" w:rsidR="00F21380" w:rsidRDefault="0041182A" w:rsidP="005672E0">
      <w:pPr>
        <w:spacing w:line="360" w:lineRule="auto"/>
        <w:ind w:firstLine="567"/>
        <w:jc w:val="center"/>
        <w:rPr>
          <w:rFonts w:ascii="Arial" w:hAnsi="Arial" w:cs="Arial"/>
          <w:color w:val="000000"/>
          <w:sz w:val="20"/>
          <w:szCs w:val="20"/>
        </w:rPr>
      </w:pPr>
      <w:r w:rsidRPr="0041182A">
        <w:rPr>
          <w:rFonts w:ascii="Arial" w:hAnsi="Arial" w:cs="Arial"/>
          <w:color w:val="000000"/>
          <w:sz w:val="20"/>
          <w:szCs w:val="20"/>
        </w:rPr>
        <w:t xml:space="preserve">included studies are </w:t>
      </w:r>
      <w:r w:rsidR="005672E0">
        <w:rPr>
          <w:rFonts w:ascii="Arial" w:hAnsi="Arial" w:cs="Arial"/>
          <w:color w:val="000000"/>
          <w:sz w:val="20"/>
          <w:szCs w:val="20"/>
        </w:rPr>
        <w:t>summarized.</w:t>
      </w:r>
    </w:p>
    <w:p w14:paraId="7C87374E" w14:textId="162B1C42" w:rsidR="005672E0" w:rsidRDefault="005672E0" w:rsidP="005672E0">
      <w:pPr>
        <w:spacing w:line="360" w:lineRule="auto"/>
        <w:ind w:firstLine="567"/>
        <w:jc w:val="center"/>
        <w:rPr>
          <w:rFonts w:ascii="Arial" w:hAnsi="Arial" w:cs="Arial"/>
          <w:color w:val="000000"/>
        </w:rPr>
      </w:pPr>
    </w:p>
    <w:p w14:paraId="10D0861E" w14:textId="7535849A" w:rsidR="009B5B67" w:rsidRPr="009B5B67" w:rsidRDefault="009B33F5" w:rsidP="009B5B67">
      <w:pPr>
        <w:spacing w:line="360" w:lineRule="auto"/>
        <w:ind w:firstLine="567"/>
        <w:jc w:val="center"/>
        <w:rPr>
          <w:rFonts w:ascii="Arial" w:hAnsi="Arial" w:cs="Arial"/>
          <w:color w:val="000000"/>
        </w:rPr>
      </w:pPr>
      <w:r>
        <w:rPr>
          <w:rFonts w:ascii="Arial" w:hAnsi="Arial" w:cs="Arial"/>
          <w:noProof/>
          <w:color w:val="000000"/>
        </w:rPr>
        <w:lastRenderedPageBreak/>
        <w:drawing>
          <wp:anchor distT="0" distB="0" distL="114300" distR="114300" simplePos="0" relativeHeight="251668480" behindDoc="0" locked="0" layoutInCell="1" allowOverlap="1" wp14:anchorId="26BE3148" wp14:editId="5628BC5D">
            <wp:simplePos x="0" y="0"/>
            <wp:positionH relativeFrom="column">
              <wp:posOffset>577215</wp:posOffset>
            </wp:positionH>
            <wp:positionV relativeFrom="paragraph">
              <wp:posOffset>281940</wp:posOffset>
            </wp:positionV>
            <wp:extent cx="5166360" cy="2173605"/>
            <wp:effectExtent l="0" t="0" r="0" b="0"/>
            <wp:wrapTopAndBottom/>
            <wp:docPr id="7099739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97396" name="Imagem 70997396"/>
                    <pic:cNvPicPr/>
                  </pic:nvPicPr>
                  <pic:blipFill>
                    <a:blip r:embed="rId17">
                      <a:extLst>
                        <a:ext uri="{28A0092B-C50C-407E-A947-70E740481C1C}">
                          <a14:useLocalDpi xmlns:a14="http://schemas.microsoft.com/office/drawing/2010/main" val="0"/>
                        </a:ext>
                      </a:extLst>
                    </a:blip>
                    <a:stretch>
                      <a:fillRect/>
                    </a:stretch>
                  </pic:blipFill>
                  <pic:spPr>
                    <a:xfrm>
                      <a:off x="0" y="0"/>
                      <a:ext cx="5166360" cy="2173605"/>
                    </a:xfrm>
                    <a:prstGeom prst="rect">
                      <a:avLst/>
                    </a:prstGeom>
                  </pic:spPr>
                </pic:pic>
              </a:graphicData>
            </a:graphic>
            <wp14:sizeRelH relativeFrom="margin">
              <wp14:pctWidth>0</wp14:pctWidth>
            </wp14:sizeRelH>
            <wp14:sizeRelV relativeFrom="margin">
              <wp14:pctHeight>0</wp14:pctHeight>
            </wp14:sizeRelV>
          </wp:anchor>
        </w:drawing>
      </w:r>
      <w:r w:rsidR="005332CC" w:rsidRPr="00E45947">
        <w:rPr>
          <w:rFonts w:ascii="Arial" w:hAnsi="Arial" w:cs="Arial"/>
          <w:b/>
          <w:bCs/>
          <w:color w:val="000000"/>
        </w:rPr>
        <w:t xml:space="preserve">Figure </w:t>
      </w:r>
      <w:r w:rsidR="005332CC">
        <w:rPr>
          <w:rFonts w:ascii="Arial" w:hAnsi="Arial" w:cs="Arial"/>
          <w:b/>
          <w:bCs/>
          <w:color w:val="000000"/>
        </w:rPr>
        <w:t>3</w:t>
      </w:r>
      <w:r w:rsidR="005332CC">
        <w:rPr>
          <w:rFonts w:ascii="Arial" w:hAnsi="Arial" w:cs="Arial"/>
          <w:color w:val="000000"/>
        </w:rPr>
        <w:t xml:space="preserve">. </w:t>
      </w:r>
      <w:r w:rsidR="009B5B67" w:rsidRPr="009B5B67">
        <w:rPr>
          <w:rFonts w:ascii="Arial" w:hAnsi="Arial" w:cs="Arial"/>
          <w:color w:val="000000"/>
        </w:rPr>
        <w:t xml:space="preserve">Bias Risk Graph: authors' judgments on each bias risk item presented as </w:t>
      </w:r>
    </w:p>
    <w:p w14:paraId="1FBFE68E" w14:textId="2429DDFA" w:rsidR="005332CC" w:rsidRDefault="009B5B67" w:rsidP="003134B3">
      <w:pPr>
        <w:spacing w:line="360" w:lineRule="auto"/>
        <w:ind w:firstLine="567"/>
        <w:jc w:val="center"/>
        <w:rPr>
          <w:rFonts w:ascii="Arial" w:hAnsi="Arial" w:cs="Arial"/>
          <w:color w:val="000000"/>
        </w:rPr>
      </w:pPr>
      <w:r w:rsidRPr="009B5B67">
        <w:rPr>
          <w:rFonts w:ascii="Arial" w:hAnsi="Arial" w:cs="Arial"/>
          <w:color w:val="000000"/>
        </w:rPr>
        <w:t>percentages across all included studies, developed with the Software Review Manager 5.4, Belo Horizonte</w:t>
      </w:r>
    </w:p>
    <w:p w14:paraId="65E4DAB3" w14:textId="73CF1ACB" w:rsidR="00F21380" w:rsidRPr="009B33F5" w:rsidRDefault="005332CC" w:rsidP="009B33F5">
      <w:pPr>
        <w:spacing w:line="360" w:lineRule="auto"/>
        <w:ind w:firstLine="567"/>
        <w:jc w:val="center"/>
        <w:rPr>
          <w:rFonts w:ascii="Arial" w:hAnsi="Arial" w:cs="Arial"/>
          <w:color w:val="000000"/>
          <w:sz w:val="20"/>
          <w:szCs w:val="20"/>
        </w:rPr>
      </w:pPr>
      <w:r w:rsidRPr="009F2976">
        <w:rPr>
          <w:rFonts w:ascii="Arial" w:hAnsi="Arial" w:cs="Arial"/>
          <w:color w:val="000000"/>
          <w:sz w:val="20"/>
          <w:szCs w:val="20"/>
        </w:rPr>
        <w:t>Risk of bias chart 2: The authors' evaluations of each risk of bias item displayed as a percentage across all studies included.</w:t>
      </w:r>
    </w:p>
    <w:p w14:paraId="6DDF8587" w14:textId="77777777" w:rsidR="00D20FD0" w:rsidRPr="00D20FD0" w:rsidRDefault="00D20FD0" w:rsidP="00D20FD0">
      <w:pPr>
        <w:spacing w:line="360" w:lineRule="auto"/>
        <w:ind w:firstLine="567"/>
        <w:jc w:val="both"/>
        <w:rPr>
          <w:rFonts w:ascii="Arial" w:eastAsia="Arial" w:hAnsi="Arial" w:cs="Arial"/>
          <w:b/>
          <w:bCs/>
        </w:rPr>
      </w:pPr>
      <w:r w:rsidRPr="00D20FD0">
        <w:rPr>
          <w:rFonts w:ascii="Arial" w:eastAsia="Arial" w:hAnsi="Arial" w:cs="Arial"/>
          <w:b/>
          <w:bCs/>
        </w:rPr>
        <w:t>3.1 Efficacy Results</w:t>
      </w:r>
    </w:p>
    <w:p w14:paraId="4565E2C0" w14:textId="7BD9CB99" w:rsidR="00882F37" w:rsidRDefault="00D20FD0" w:rsidP="00B34B68">
      <w:pPr>
        <w:spacing w:line="360" w:lineRule="auto"/>
        <w:ind w:firstLine="567"/>
        <w:jc w:val="both"/>
        <w:rPr>
          <w:rFonts w:ascii="Arial" w:eastAsia="Arial" w:hAnsi="Arial" w:cs="Arial"/>
        </w:rPr>
      </w:pPr>
      <w:r w:rsidRPr="00D20FD0">
        <w:rPr>
          <w:rFonts w:ascii="Arial" w:eastAsia="Arial" w:hAnsi="Arial" w:cs="Arial"/>
        </w:rPr>
        <w:t xml:space="preserve">The meta-analysis evaluated the effectiveness of the ISGLT2 drug class in treating patients with type 2 diabetes mellitus (DM2). Seven clinical trials were included in the analysis. The results showed a significant 38% reduction in the risk of cardiovascular death and hospitalization for heart failure in patients treated with ISGLT2 compared to patients treated with optimized conventional diabetes therapy (p = 0,0005; I² = 92%). There was a slight reduction in the relative risk of MACE between the two groups, but it did not reach statistical significance (RR 0,95; CI 0,86-1,16; p=0,09; I² 49%). However, CKD was associated with a statistically significant risk reduction: The RR of ISGLT2 decreased by 32% in the control group (RR 0,68; 95% CI 0,57-0,82; p&lt;0,0001; I² 59%). The reduction in hospital admissions for heart failure was statistically significant when comparing the two groups, with a RR reduction of 0,70 (RR 0,70; 0,62 to 0,78; 95% CI; p &lt; 0,0001; I² 0%). For the assessment of fatal or non-fatal acute myocardial infarction, there was no reduction when comparing ISGLT2 with optimized diabetes therapy, but there was a trend leading to neutrality in the experimental group versus placebo (RR 0,95; 95% CI 0,88-1,04; p=0,27; I² 1%). The study also examined the risk associated with a decrease in cardiovascular death, revealing an insignificant reduction in all-cause mortality in the experimental group as compared to the placebo cohort (RR 0,82; 95% CI 0,73-1,05; p=0,14; I² 77%). The analysis of the reduction in fatal stroke incidents revealed no significant reduction in the ISGLT2 </w:t>
      </w:r>
      <w:r w:rsidRPr="00D20FD0">
        <w:rPr>
          <w:rFonts w:ascii="Arial" w:eastAsia="Arial" w:hAnsi="Arial" w:cs="Arial"/>
        </w:rPr>
        <w:lastRenderedPageBreak/>
        <w:t>group with a trend towards neutrality in the experimental group versus placebo (RR 0,97; 95% CI 0,85-1,12; p=0,69; I² 34%). The experimental group exhibited a noteworthy 12% decrease in all-cause mortality, reaching the boundary of the confidence interval when compared to the placebo (RR 0,88; 95% CI 0,78-0,99; p=0,04; I² 65%)</w:t>
      </w:r>
      <w:r w:rsidR="008D59AE">
        <w:rPr>
          <w:rFonts w:ascii="Arial" w:eastAsia="Arial" w:hAnsi="Arial" w:cs="Arial"/>
        </w:rPr>
        <w:t>.</w:t>
      </w:r>
    </w:p>
    <w:p w14:paraId="41BC2D63" w14:textId="26D9DEC3" w:rsidR="009D33B0" w:rsidRPr="009D33B0" w:rsidRDefault="009D33B0" w:rsidP="009D33B0">
      <w:pPr>
        <w:spacing w:line="360" w:lineRule="auto"/>
        <w:ind w:firstLine="567"/>
        <w:jc w:val="both"/>
        <w:rPr>
          <w:rFonts w:ascii="Arial" w:eastAsia="Arial" w:hAnsi="Arial" w:cs="Arial"/>
          <w:b/>
          <w:bCs/>
        </w:rPr>
      </w:pPr>
      <w:r w:rsidRPr="009D33B0">
        <w:rPr>
          <w:rFonts w:ascii="Arial" w:eastAsia="Arial" w:hAnsi="Arial" w:cs="Arial"/>
          <w:b/>
          <w:bCs/>
        </w:rPr>
        <w:t>3.2 Adverse Event Findings</w:t>
      </w:r>
    </w:p>
    <w:p w14:paraId="2CED5B5B" w14:textId="0D0AA618" w:rsidR="009D33B0" w:rsidRPr="009D33B0" w:rsidRDefault="009D33B0" w:rsidP="00AD18F4">
      <w:pPr>
        <w:spacing w:line="360" w:lineRule="auto"/>
        <w:ind w:firstLine="567"/>
        <w:jc w:val="both"/>
        <w:rPr>
          <w:rFonts w:ascii="Arial" w:eastAsia="Arial" w:hAnsi="Arial" w:cs="Arial"/>
        </w:rPr>
      </w:pPr>
      <w:r w:rsidRPr="009D33B0">
        <w:rPr>
          <w:rFonts w:ascii="Arial" w:eastAsia="Arial" w:hAnsi="Arial" w:cs="Arial"/>
        </w:rPr>
        <w:t xml:space="preserve"> The meta-analysis assessed data from seven randomized clinical trials that present homogeneous and quantitative information regarding the risk of hypoglycemia. The results suggest neutrality, with only a 1% reduction of hypoglycemia observed in the control group. There was no statistically significant increase in fractures in the ISGLT2 group after its introduction, but there was a trend towards a 22% increase in relative risk in this group (p=0,19; I² 81%) based on the risk of fractures at different sites.</w:t>
      </w:r>
      <w:r w:rsidR="00AD18F4">
        <w:rPr>
          <w:rFonts w:ascii="Arial" w:eastAsia="Arial" w:hAnsi="Arial" w:cs="Arial"/>
        </w:rPr>
        <w:t xml:space="preserve"> </w:t>
      </w:r>
      <w:r w:rsidRPr="009D33B0">
        <w:rPr>
          <w:rFonts w:ascii="Arial" w:eastAsia="Arial" w:hAnsi="Arial" w:cs="Arial"/>
        </w:rPr>
        <w:t>Regarding the risk of volume depletion with or without hypotension, there was no significant increase in this undesirable effect in the ISGLT2 group, and there was a trend towards neutrality when comparing the groups (p=0,83; I² 74%). There was no significant difference in the risk of serious urinary tract infections, except for cystitis, between the control and placebo groups. The results revealed no statistically significant increase in adverse events in the ISGLT2 group, with a trend toward neutrality in the group comparison (p=0,12; I² 38%).</w:t>
      </w:r>
    </w:p>
    <w:p w14:paraId="7D55B524" w14:textId="5CCD431A" w:rsidR="00EB01B4" w:rsidRPr="008B5063" w:rsidRDefault="009D33B0" w:rsidP="008B5063">
      <w:pPr>
        <w:spacing w:line="360" w:lineRule="auto"/>
        <w:ind w:firstLine="567"/>
        <w:jc w:val="both"/>
        <w:rPr>
          <w:rFonts w:ascii="Arial" w:eastAsia="Arial" w:hAnsi="Arial" w:cs="Arial"/>
        </w:rPr>
      </w:pPr>
      <w:r w:rsidRPr="009D33B0">
        <w:rPr>
          <w:rFonts w:ascii="Arial" w:eastAsia="Arial" w:hAnsi="Arial" w:cs="Arial"/>
        </w:rPr>
        <w:t>Additionally, the ISGLT2 group exhibited a slight but significant trend towards reduced serious general adverse events, not including death, when compared to the placebo group. Heterogeneity was evaluated through a fixed model and found to have notable variance. The relative risk (RR) showed a 15% increase (p=0,03; I² 96%) with regards to genitourinary infections in the meta-analysis of SGLT2 usage versus placebo, showing a statistically significant 327% increase in RR. Reassessment of heterogeneity yielded a substantial outcome (p&lt;0,00001; I² 68%). Only the CANVAS, CREDENCE, DECLARE, EMPA-REG, and VERTIS studies reported findings on unscheduled discontinuation, excluding deaths, and demonstrated no statistical significance between the control and placebo discontinuation assessments, indicating a trend towards neutrality.</w:t>
      </w:r>
    </w:p>
    <w:p w14:paraId="5C131D96" w14:textId="483C8760" w:rsidR="00460676" w:rsidRPr="00D6702E" w:rsidRDefault="00460676" w:rsidP="00460676">
      <w:pPr>
        <w:shd w:val="clear" w:color="auto" w:fill="4F81BD" w:themeFill="accent1"/>
        <w:rPr>
          <w:rFonts w:ascii="Arial" w:hAnsi="Arial" w:cs="Arial"/>
          <w:b/>
          <w:color w:val="FFFFFF" w:themeColor="background1"/>
        </w:rPr>
      </w:pPr>
      <w:r>
        <w:rPr>
          <w:rFonts w:ascii="Arial" w:hAnsi="Arial" w:cs="Arial"/>
          <w:b/>
          <w:color w:val="FFFFFF" w:themeColor="background1"/>
        </w:rPr>
        <w:t>4. DISCUSS</w:t>
      </w:r>
      <w:r w:rsidR="00DF75ED">
        <w:rPr>
          <w:rFonts w:ascii="Arial" w:hAnsi="Arial" w:cs="Arial"/>
          <w:b/>
          <w:color w:val="FFFFFF" w:themeColor="background1"/>
        </w:rPr>
        <w:t>ION</w:t>
      </w:r>
    </w:p>
    <w:p w14:paraId="6462F8E7" w14:textId="77777777" w:rsidR="00460676" w:rsidRDefault="00460676" w:rsidP="00AD18F4">
      <w:pPr>
        <w:pStyle w:val="Inter-pargrafopadro"/>
        <w:spacing w:before="0"/>
        <w:ind w:firstLine="0"/>
        <w:rPr>
          <w:rFonts w:cs="Arial"/>
          <w:color w:val="000000" w:themeColor="text1"/>
        </w:rPr>
      </w:pPr>
    </w:p>
    <w:p w14:paraId="155DF692" w14:textId="6B3B00D2" w:rsidR="003556BD" w:rsidRPr="003556BD" w:rsidRDefault="003556BD" w:rsidP="004160C1">
      <w:pPr>
        <w:spacing w:line="360" w:lineRule="auto"/>
        <w:ind w:firstLine="567"/>
        <w:jc w:val="both"/>
        <w:rPr>
          <w:rFonts w:ascii="Arial" w:eastAsia="Arial" w:hAnsi="Arial" w:cs="Arial"/>
        </w:rPr>
      </w:pPr>
      <w:r w:rsidRPr="003556BD">
        <w:rPr>
          <w:rFonts w:ascii="Arial" w:eastAsia="Arial" w:hAnsi="Arial" w:cs="Arial"/>
        </w:rPr>
        <w:t>The analysis assessed eight primary outcomes and eight adverse effects documented in the RCTs. Seven were evaluated after following the previously described steps. Some studies yielded incomplete data on primary and secondary outcomes and adverse effects</w:t>
      </w:r>
      <w:r w:rsidR="007A1701">
        <w:rPr>
          <w:rFonts w:ascii="Arial" w:eastAsia="Arial" w:hAnsi="Arial" w:cs="Arial"/>
        </w:rPr>
        <w:t xml:space="preserve">. </w:t>
      </w:r>
      <w:r w:rsidR="007A1701">
        <w:rPr>
          <w:rFonts w:ascii="Arial" w:eastAsia="Arial" w:hAnsi="Arial" w:cs="Arial"/>
        </w:rPr>
        <w:lastRenderedPageBreak/>
        <w:t xml:space="preserve">17-18-19-20 </w:t>
      </w:r>
      <w:r w:rsidRPr="003556BD">
        <w:rPr>
          <w:rFonts w:ascii="Arial" w:eastAsia="Arial" w:hAnsi="Arial" w:cs="Arial"/>
        </w:rPr>
        <w:t>The study's sample group consisted of 75,14% white and 63.11% male patients. Further research in diverse population profiles could address gaps in this meta-analysis. Patients with established cardiovascular disease accounted for 66,23% of the RCTs population, which may present an advantageous patient profile for therapeutic optimization leading to reduced outcomes. On average, patients' HbA1C was 8,12%, and the average duration of a diabetes diagnosis was 11,05 years. This therapeutic category resulted in a slight decrease of 0,46% in Hba1C levels and a minor decrease of 3,55 and 2,75 mmHg, respectively, in systolic and diastolic blood pressure. Consequently, the use of ISGLT2 cannot be recommended for further control of blood pressure levels.</w:t>
      </w:r>
    </w:p>
    <w:p w14:paraId="50C90DDD" w14:textId="77777777" w:rsidR="003556BD" w:rsidRPr="005326B4" w:rsidRDefault="003556BD" w:rsidP="003556BD">
      <w:pPr>
        <w:spacing w:line="360" w:lineRule="auto"/>
        <w:ind w:firstLine="567"/>
        <w:jc w:val="both"/>
        <w:rPr>
          <w:rFonts w:ascii="Arial" w:eastAsia="Arial" w:hAnsi="Arial" w:cs="Arial"/>
          <w:b/>
          <w:bCs/>
        </w:rPr>
      </w:pPr>
      <w:r w:rsidRPr="005326B4">
        <w:rPr>
          <w:rFonts w:ascii="Arial" w:eastAsia="Arial" w:hAnsi="Arial" w:cs="Arial"/>
          <w:b/>
          <w:bCs/>
        </w:rPr>
        <w:t>4.1 Evaluating efficacy</w:t>
      </w:r>
    </w:p>
    <w:p w14:paraId="5D87649B" w14:textId="4B3A4519" w:rsidR="003556BD" w:rsidRPr="003556BD" w:rsidRDefault="003556BD" w:rsidP="004160C1">
      <w:pPr>
        <w:spacing w:line="360" w:lineRule="auto"/>
        <w:ind w:firstLine="567"/>
        <w:jc w:val="both"/>
        <w:rPr>
          <w:rFonts w:ascii="Arial" w:eastAsia="Arial" w:hAnsi="Arial" w:cs="Arial"/>
        </w:rPr>
      </w:pPr>
      <w:r w:rsidRPr="003556BD">
        <w:rPr>
          <w:rFonts w:ascii="Arial" w:eastAsia="Arial" w:hAnsi="Arial" w:cs="Arial"/>
        </w:rPr>
        <w:t>All studies that examined positive outcomes presented selective outcomes, indicating a high risk of bias when using the ROB 2.0 and GRADE-PRO tools. Evidence on hospitalization for HF and reduction in the progression of chronic kidney disease was found to be of high degree. Found a significant reduction of 29% in the relative risk of combined cardiovascular deaths and heart failure, despite considerable heterogeneity (RR 0,71; 95% CI; 0,58 – 0,86; p=0,0005; I² 82%). They evaluated the effect of ISGLT2 in both diabetics and non-diabetics, leading to a 25% reduction (p&lt;0,000001). Ahmad and colleagues  discovered comparable results in their study, which incorporated Sotagliflozin, to those presented in our study, with a relative risk (RR) of 0,84, 95% confidence interval (CI) of 0,71-0,98, a P-value of 0,02, and an I² of 67%</w:t>
      </w:r>
      <w:r w:rsidR="00F61E37">
        <w:rPr>
          <w:rFonts w:ascii="Arial" w:eastAsia="Arial" w:hAnsi="Arial" w:cs="Arial"/>
        </w:rPr>
        <w:t>.21-22</w:t>
      </w:r>
    </w:p>
    <w:p w14:paraId="7FA7EF82" w14:textId="3752A106" w:rsidR="003556BD" w:rsidRPr="003556BD" w:rsidRDefault="003556BD" w:rsidP="00D52D5B">
      <w:pPr>
        <w:spacing w:line="360" w:lineRule="auto"/>
        <w:ind w:firstLine="567"/>
        <w:jc w:val="both"/>
        <w:rPr>
          <w:rFonts w:ascii="Arial" w:eastAsia="Arial" w:hAnsi="Arial" w:cs="Arial"/>
        </w:rPr>
      </w:pPr>
      <w:r w:rsidRPr="003556BD">
        <w:rPr>
          <w:rFonts w:ascii="Arial" w:eastAsia="Arial" w:hAnsi="Arial" w:cs="Arial"/>
        </w:rPr>
        <w:t>There was a 30% decrease in CHF-related hospitalizations (RR 0,70; CI 0,62-0,78; p &lt;0,00001; I² of 0%). One study reported a statistically significant 52% reduction in CHF rehospitalizations.</w:t>
      </w:r>
      <w:r w:rsidR="00F61E37">
        <w:rPr>
          <w:rFonts w:ascii="Arial" w:eastAsia="Arial" w:hAnsi="Arial" w:cs="Arial"/>
        </w:rPr>
        <w:t>22</w:t>
      </w:r>
      <w:r w:rsidRPr="003556BD">
        <w:rPr>
          <w:rFonts w:ascii="Arial" w:eastAsia="Arial" w:hAnsi="Arial" w:cs="Arial"/>
        </w:rPr>
        <w:t xml:space="preserve"> Positive results were observed in non-diabetic patients from the RCT Empagliflozin in Heart Failure with a Preserved Ejection Fraction (EMPEROR) study.</w:t>
      </w:r>
      <w:r w:rsidR="004559E7">
        <w:rPr>
          <w:rFonts w:ascii="Arial" w:eastAsia="Arial" w:hAnsi="Arial" w:cs="Arial"/>
        </w:rPr>
        <w:t>23</w:t>
      </w:r>
      <w:r w:rsidRPr="003556BD">
        <w:rPr>
          <w:rFonts w:ascii="Arial" w:eastAsia="Arial" w:hAnsi="Arial" w:cs="Arial"/>
        </w:rPr>
        <w:t xml:space="preserve"> In vitro studies, animal models, and reviews suggest that medications within this drug class impact cardiomyocytes expressing SGLT2 receptors, potentially justifying the benefits.</w:t>
      </w:r>
      <w:r w:rsidR="004559E7">
        <w:rPr>
          <w:rFonts w:ascii="Arial" w:eastAsia="Arial" w:hAnsi="Arial" w:cs="Arial"/>
        </w:rPr>
        <w:t>24-25</w:t>
      </w:r>
      <w:r w:rsidRPr="003556BD">
        <w:rPr>
          <w:rFonts w:ascii="Arial" w:eastAsia="Arial" w:hAnsi="Arial" w:cs="Arial"/>
        </w:rPr>
        <w:t xml:space="preserve"> The exclusion of heart failure hospitalizations did not lead to a significant reduction in the risk of cardiovascular death (RR 0,87; 95% CI 0,73-1,05; p=0,14).</w:t>
      </w:r>
      <w:r w:rsidR="00D52D5B">
        <w:rPr>
          <w:rFonts w:ascii="Arial" w:eastAsia="Arial" w:hAnsi="Arial" w:cs="Arial"/>
        </w:rPr>
        <w:t xml:space="preserve"> </w:t>
      </w:r>
      <w:r w:rsidRPr="003556BD">
        <w:rPr>
          <w:rFonts w:ascii="Arial" w:eastAsia="Arial" w:hAnsi="Arial" w:cs="Arial"/>
        </w:rPr>
        <w:t>The progression of kidney disease was reduced by 32% with statistical significance (p&lt;0,0001) according to one real-life study [24]. Their cohort also reported a 49% reduction in the combined renal outcome (95% CI 0,35-0,67; p &lt; 0,0001).</w:t>
      </w:r>
      <w:r w:rsidR="000D22F0">
        <w:rPr>
          <w:rFonts w:ascii="Arial" w:eastAsia="Arial" w:hAnsi="Arial" w:cs="Arial"/>
        </w:rPr>
        <w:t>26</w:t>
      </w:r>
      <w:r w:rsidRPr="003556BD">
        <w:rPr>
          <w:rFonts w:ascii="Arial" w:eastAsia="Arial" w:hAnsi="Arial" w:cs="Arial"/>
        </w:rPr>
        <w:t xml:space="preserve"> It evaluated the renal outcomes of ISGLT2 and Sotagliflozin in diabetics and non-diabetics. They found a significant reduction in this </w:t>
      </w:r>
      <w:r w:rsidRPr="003556BD">
        <w:rPr>
          <w:rFonts w:ascii="Arial" w:eastAsia="Arial" w:hAnsi="Arial" w:cs="Arial"/>
        </w:rPr>
        <w:lastRenderedPageBreak/>
        <w:t>outcome (RR 0,70; 95% CI 0,58-0,83], p &lt; 0,0001; I2 = 0,00%), as well as an improvement in microalbuminuria.</w:t>
      </w:r>
      <w:r w:rsidR="000D22F0">
        <w:rPr>
          <w:rFonts w:ascii="Arial" w:eastAsia="Arial" w:hAnsi="Arial" w:cs="Arial"/>
        </w:rPr>
        <w:t>26</w:t>
      </w:r>
      <w:r w:rsidRPr="003556BD">
        <w:rPr>
          <w:rFonts w:ascii="Arial" w:eastAsia="Arial" w:hAnsi="Arial" w:cs="Arial"/>
        </w:rPr>
        <w:t xml:space="preserve"> However, further research is needed for primary prevention. The Taiwanese retrospective cohort studied 53,264 patients taking ISGLT2 versus DPP4. The all-cause mortality rate in SGLT2 inhibitor and DPP4 inhibitor users was 8,67 and 12,41 per 1000 person-years, respectively. Researchers evaluated 21 randomized controlled trials in patients with and without diabetes mellitus type 2 and found a 14% decrease in all-cause mortality (95% CI, 0,81; 0,91; p &lt;0,00001).</w:t>
      </w:r>
      <w:r w:rsidR="005257AB">
        <w:rPr>
          <w:rFonts w:ascii="Arial" w:eastAsia="Arial" w:hAnsi="Arial" w:cs="Arial"/>
        </w:rPr>
        <w:t>27</w:t>
      </w:r>
      <w:r w:rsidRPr="003556BD">
        <w:rPr>
          <w:rFonts w:ascii="Arial" w:eastAsia="Arial" w:hAnsi="Arial" w:cs="Arial"/>
        </w:rPr>
        <w:t xml:space="preserve"> The current systematic review demonstrates a statistically significant 12% reduction in this outcome (p=0,04).</w:t>
      </w:r>
      <w:r w:rsidR="005257AB">
        <w:rPr>
          <w:rFonts w:ascii="Arial" w:eastAsia="Arial" w:hAnsi="Arial" w:cs="Arial"/>
        </w:rPr>
        <w:t>28</w:t>
      </w:r>
    </w:p>
    <w:p w14:paraId="51624DB9" w14:textId="5F1303EE" w:rsidR="003556BD" w:rsidRPr="003556BD" w:rsidRDefault="003556BD" w:rsidP="004160C1">
      <w:pPr>
        <w:spacing w:line="360" w:lineRule="auto"/>
        <w:ind w:firstLine="567"/>
        <w:jc w:val="both"/>
        <w:rPr>
          <w:rFonts w:ascii="Arial" w:eastAsia="Arial" w:hAnsi="Arial" w:cs="Arial"/>
        </w:rPr>
      </w:pPr>
      <w:r w:rsidRPr="003556BD">
        <w:rPr>
          <w:rFonts w:ascii="Arial" w:eastAsia="Arial" w:hAnsi="Arial" w:cs="Arial"/>
        </w:rPr>
        <w:t>Poor glycemic control, length of time since diabetes diagnosis, and early age at diabetes diagnosis are distinct risk factors that lead to major vascular events, including fatal and non-fatal AMI and stroke. In patients with DM2, no benefits in these outcomes were observed, in accordance with one meta-analysis (RR 0,955 CI 0,799-1,135; p- 0,585).</w:t>
      </w:r>
      <w:r w:rsidR="005257AB">
        <w:rPr>
          <w:rFonts w:ascii="Arial" w:eastAsia="Arial" w:hAnsi="Arial" w:cs="Arial"/>
        </w:rPr>
        <w:t>29</w:t>
      </w:r>
      <w:r w:rsidRPr="003556BD">
        <w:rPr>
          <w:rFonts w:ascii="Arial" w:eastAsia="Arial" w:hAnsi="Arial" w:cs="Arial"/>
        </w:rPr>
        <w:t xml:space="preserve"> Similarly, Other study found no significant reduction in the risk of stroke (HR, 0,86; 95% CI, 0,65-1,08).</w:t>
      </w:r>
      <w:r w:rsidR="00852876">
        <w:rPr>
          <w:rFonts w:ascii="Arial" w:eastAsia="Arial" w:hAnsi="Arial" w:cs="Arial"/>
        </w:rPr>
        <w:t>30</w:t>
      </w:r>
      <w:r w:rsidRPr="003556BD">
        <w:rPr>
          <w:rFonts w:ascii="Arial" w:eastAsia="Arial" w:hAnsi="Arial" w:cs="Arial"/>
        </w:rPr>
        <w:t xml:space="preserve"> A comprehensive strategy is necessary for the treatment of DM2 to reduce the risk of AMI and stroke, alongside further research studies on residual risk factors.</w:t>
      </w:r>
      <w:r w:rsidR="00DB334E">
        <w:rPr>
          <w:rFonts w:ascii="Arial" w:eastAsia="Arial" w:hAnsi="Arial" w:cs="Arial"/>
        </w:rPr>
        <w:t>31</w:t>
      </w:r>
      <w:r w:rsidRPr="003556BD">
        <w:rPr>
          <w:rFonts w:ascii="Arial" w:eastAsia="Arial" w:hAnsi="Arial" w:cs="Arial"/>
        </w:rPr>
        <w:t xml:space="preserve"> </w:t>
      </w:r>
    </w:p>
    <w:p w14:paraId="56F69E4E" w14:textId="0666FBBB" w:rsidR="003556BD" w:rsidRPr="003556BD" w:rsidRDefault="003556BD" w:rsidP="00D52D5B">
      <w:pPr>
        <w:spacing w:line="360" w:lineRule="auto"/>
        <w:ind w:firstLine="567"/>
        <w:jc w:val="both"/>
        <w:rPr>
          <w:rFonts w:ascii="Arial" w:eastAsia="Arial" w:hAnsi="Arial" w:cs="Arial"/>
        </w:rPr>
      </w:pPr>
      <w:r w:rsidRPr="003556BD">
        <w:rPr>
          <w:rFonts w:ascii="Arial" w:eastAsia="Arial" w:hAnsi="Arial" w:cs="Arial"/>
        </w:rPr>
        <w:t>One RCT did not provide the absolute numbers of these events in their databases and they were indirectly determined through other publications [19]. The analysis of the data from the CREDENCE study may have been subject to publication bias and possible data imputation due to the numbers recorded in the Clinical Trial.</w:t>
      </w:r>
      <w:r w:rsidR="0045785B">
        <w:rPr>
          <w:rFonts w:ascii="Arial" w:eastAsia="Arial" w:hAnsi="Arial" w:cs="Arial"/>
        </w:rPr>
        <w:t>30,32</w:t>
      </w:r>
      <w:r w:rsidR="00D52D5B">
        <w:rPr>
          <w:rFonts w:ascii="Arial" w:eastAsia="Arial" w:hAnsi="Arial" w:cs="Arial"/>
        </w:rPr>
        <w:t xml:space="preserve"> </w:t>
      </w:r>
      <w:r w:rsidRPr="003556BD">
        <w:rPr>
          <w:rFonts w:ascii="Arial" w:eastAsia="Arial" w:hAnsi="Arial" w:cs="Arial"/>
        </w:rPr>
        <w:t>Further investigation is required to better understand the additional cardiovascular benefits of ISGLT2. Additionally, it is critical to evaluate the adjustments made in clinical trials and any losses caused by other deaths and/or unjustified discontinuation of follow-up. New analyses will be explored to address gaps in our publication.</w:t>
      </w:r>
    </w:p>
    <w:p w14:paraId="4E23EE27" w14:textId="77777777" w:rsidR="003556BD" w:rsidRPr="005326B4" w:rsidRDefault="003556BD" w:rsidP="003556BD">
      <w:pPr>
        <w:spacing w:line="360" w:lineRule="auto"/>
        <w:ind w:firstLine="567"/>
        <w:jc w:val="both"/>
        <w:rPr>
          <w:rFonts w:ascii="Arial" w:eastAsia="Arial" w:hAnsi="Arial" w:cs="Arial"/>
          <w:b/>
          <w:bCs/>
        </w:rPr>
      </w:pPr>
      <w:r w:rsidRPr="005326B4">
        <w:rPr>
          <w:rFonts w:ascii="Arial" w:eastAsia="Arial" w:hAnsi="Arial" w:cs="Arial"/>
          <w:b/>
          <w:bCs/>
        </w:rPr>
        <w:t>4.2 Evaluation of undesirable effects and safety</w:t>
      </w:r>
    </w:p>
    <w:p w14:paraId="4996047B" w14:textId="1E5ADF6B" w:rsidR="003556BD" w:rsidRPr="003556BD" w:rsidRDefault="003556BD" w:rsidP="00286408">
      <w:pPr>
        <w:spacing w:line="360" w:lineRule="auto"/>
        <w:ind w:firstLine="567"/>
        <w:jc w:val="both"/>
        <w:rPr>
          <w:rFonts w:ascii="Arial" w:eastAsia="Arial" w:hAnsi="Arial" w:cs="Arial"/>
        </w:rPr>
      </w:pPr>
      <w:r w:rsidRPr="003556BD">
        <w:rPr>
          <w:rFonts w:ascii="Arial" w:eastAsia="Arial" w:hAnsi="Arial" w:cs="Arial"/>
        </w:rPr>
        <w:t>ISGLT2 is considered safe based on its exceptional efficacy in treating CHF patients. Most publications have limited information about the drug's adverse effects, but the Clinical Trial's data shares crucial insights.</w:t>
      </w:r>
      <w:r w:rsidR="0045785B">
        <w:rPr>
          <w:rFonts w:ascii="Arial" w:eastAsia="Arial" w:hAnsi="Arial" w:cs="Arial"/>
        </w:rPr>
        <w:t xml:space="preserve"> </w:t>
      </w:r>
      <w:r w:rsidRPr="003556BD">
        <w:rPr>
          <w:rFonts w:ascii="Arial" w:eastAsia="Arial" w:hAnsi="Arial" w:cs="Arial"/>
        </w:rPr>
        <w:t>The glycosuria side effect poses a potential risk of hypoglycemia, which is the primary hindrance in achieving optimal glycemic control. Intensive glycemic control raises the risk of severe hypoglycemia by 1,5 to 3 times. Hypoglycemia occurrence is linked to increased mortality, greater risk of dementia, cognitive dysfunction, falls (including increased fractures), cardiovascular events, and poorer quality of life.</w:t>
      </w:r>
      <w:r w:rsidR="0045785B">
        <w:rPr>
          <w:rFonts w:ascii="Arial" w:eastAsia="Arial" w:hAnsi="Arial" w:cs="Arial"/>
        </w:rPr>
        <w:t>31</w:t>
      </w:r>
      <w:r w:rsidR="000605CE">
        <w:rPr>
          <w:rFonts w:ascii="Arial" w:eastAsia="Arial" w:hAnsi="Arial" w:cs="Arial"/>
        </w:rPr>
        <w:t xml:space="preserve"> </w:t>
      </w:r>
      <w:r w:rsidRPr="003556BD">
        <w:rPr>
          <w:rFonts w:ascii="Arial" w:eastAsia="Arial" w:hAnsi="Arial" w:cs="Arial"/>
        </w:rPr>
        <w:t xml:space="preserve">ISGLT2's association with other AHO (p-0,56) indicates no statistical significance </w:t>
      </w:r>
      <w:r w:rsidRPr="003556BD">
        <w:rPr>
          <w:rFonts w:ascii="Arial" w:eastAsia="Arial" w:hAnsi="Arial" w:cs="Arial"/>
        </w:rPr>
        <w:lastRenderedPageBreak/>
        <w:t>or effect with respect to hypoglycemia. Researchers conducted an evaluation of more than 170,000 patients taking ISGLT2 and their hospitalizations due to hypoglycemia.</w:t>
      </w:r>
      <w:r w:rsidR="000605CE">
        <w:rPr>
          <w:rFonts w:ascii="Arial" w:eastAsia="Arial" w:hAnsi="Arial" w:cs="Arial"/>
        </w:rPr>
        <w:t>31</w:t>
      </w:r>
      <w:r w:rsidRPr="003556BD">
        <w:rPr>
          <w:rFonts w:ascii="Arial" w:eastAsia="Arial" w:hAnsi="Arial" w:cs="Arial"/>
        </w:rPr>
        <w:t xml:space="preserve"> The results showed no increase in the risk of hospitalizations.</w:t>
      </w:r>
      <w:r w:rsidR="000605CE">
        <w:rPr>
          <w:rFonts w:ascii="Arial" w:eastAsia="Arial" w:hAnsi="Arial" w:cs="Arial"/>
        </w:rPr>
        <w:t>30</w:t>
      </w:r>
      <w:r w:rsidRPr="003556BD">
        <w:rPr>
          <w:rFonts w:ascii="Arial" w:eastAsia="Arial" w:hAnsi="Arial" w:cs="Arial"/>
        </w:rPr>
        <w:t xml:space="preserve"> However, the use of ISGLT2 along with insulin demonstrated a 3,26-fold increase (OR 3,26; 95% CI 2,43-4,38). This increased risk occurred more commonly in frail elderly individuals and those on insulin therapy. Thus, further studies are required to establish the safety of this treatment despite the benefits of its efficacy.</w:t>
      </w:r>
      <w:r w:rsidR="00286408">
        <w:rPr>
          <w:rFonts w:ascii="Arial" w:eastAsia="Arial" w:hAnsi="Arial" w:cs="Arial"/>
        </w:rPr>
        <w:t xml:space="preserve"> </w:t>
      </w:r>
      <w:r w:rsidRPr="003556BD">
        <w:rPr>
          <w:rFonts w:ascii="Arial" w:eastAsia="Arial" w:hAnsi="Arial" w:cs="Arial"/>
        </w:rPr>
        <w:t xml:space="preserve">Fracture risk also remains a significant concern. Researchers conducted a COX proportional hazards analysis of ISGLT2 versus IDPP4, which revealed no significant difference between the two groups: 0,95 (95% CI, 0.79-1.13) and 0,88 (95% CI, 0,88-1,00), </w:t>
      </w:r>
      <w:r w:rsidR="00BE3D74">
        <w:rPr>
          <w:rFonts w:ascii="Arial" w:eastAsia="Arial" w:hAnsi="Arial" w:cs="Arial"/>
        </w:rPr>
        <w:t>respectively.33-34</w:t>
      </w:r>
      <w:r w:rsidRPr="003556BD">
        <w:rPr>
          <w:rFonts w:ascii="Arial" w:eastAsia="Arial" w:hAnsi="Arial" w:cs="Arial"/>
        </w:rPr>
        <w:t xml:space="preserve"> An additional analysis involving 137,667 individuals with DM2 and ≥65 years old without previous fractures identified a difference among new users of ISGLT2 versus IDPP4 or GLP1 analogues.</w:t>
      </w:r>
      <w:r w:rsidR="00BE3D74">
        <w:rPr>
          <w:rFonts w:ascii="Arial" w:eastAsia="Arial" w:hAnsi="Arial" w:cs="Arial"/>
        </w:rPr>
        <w:t>35</w:t>
      </w:r>
      <w:r w:rsidRPr="003556BD">
        <w:rPr>
          <w:rFonts w:ascii="Arial" w:eastAsia="Arial" w:hAnsi="Arial" w:cs="Arial"/>
        </w:rPr>
        <w:t xml:space="preserve"> The trend showed an increase of 1,22, but the risk did not significantly rise (p-0,19). Ruanpeng and colleagues assessed 8,286 participants diagnosed with type 2 diabetes in phase 2 and 3 randomized controlled trials. They found that the risk of fracture was 33% lower (RR 0,67; 95% CI, 0,42-1,07).</w:t>
      </w:r>
      <w:r w:rsidR="00BE3D74">
        <w:rPr>
          <w:rFonts w:ascii="Arial" w:eastAsia="Arial" w:hAnsi="Arial" w:cs="Arial"/>
        </w:rPr>
        <w:t>36</w:t>
      </w:r>
      <w:r w:rsidRPr="003556BD">
        <w:rPr>
          <w:rFonts w:ascii="Arial" w:eastAsia="Arial" w:hAnsi="Arial" w:cs="Arial"/>
        </w:rPr>
        <w:t xml:space="preserve"> In a second meta-analysis of 27 RCTs in type 2 diabetes, the authors found no statistically significant increase in the risk of fractures (RR 1,02 95% CI 0,81-1,28).</w:t>
      </w:r>
      <w:r w:rsidR="00672919">
        <w:rPr>
          <w:rFonts w:ascii="Arial" w:eastAsia="Arial" w:hAnsi="Arial" w:cs="Arial"/>
        </w:rPr>
        <w:t>25</w:t>
      </w:r>
      <w:r w:rsidRPr="003556BD">
        <w:rPr>
          <w:rFonts w:ascii="Arial" w:eastAsia="Arial" w:hAnsi="Arial" w:cs="Arial"/>
        </w:rPr>
        <w:t xml:space="preserve"> Our findings differ from the aforementioned studies and may be due to the exclusion of phase 2 clinical trials and non-"double-blind" studies.</w:t>
      </w:r>
      <w:r w:rsidR="00BE3D74">
        <w:rPr>
          <w:rFonts w:ascii="Arial" w:eastAsia="Arial" w:hAnsi="Arial" w:cs="Arial"/>
        </w:rPr>
        <w:t>37</w:t>
      </w:r>
    </w:p>
    <w:p w14:paraId="17D4CEE2" w14:textId="49CD7D7D" w:rsidR="003556BD" w:rsidRPr="003556BD" w:rsidRDefault="003556BD" w:rsidP="00512B6F">
      <w:pPr>
        <w:spacing w:line="360" w:lineRule="auto"/>
        <w:ind w:firstLine="567"/>
        <w:jc w:val="both"/>
        <w:rPr>
          <w:rFonts w:ascii="Arial" w:eastAsia="Arial" w:hAnsi="Arial" w:cs="Arial"/>
        </w:rPr>
      </w:pPr>
      <w:r w:rsidRPr="003556BD">
        <w:rPr>
          <w:rFonts w:ascii="Arial" w:eastAsia="Arial" w:hAnsi="Arial" w:cs="Arial"/>
        </w:rPr>
        <w:t>The CANVAS-PROGRAM study revealed a notable rise in fractures, primarily in the limbs, which do not classify as fragility fractures. This upswing in fractures can be attributed to the fact that the participants chosen for the study had advanced kidney disease and some level of peripheral arterial disease. Publishing the results in "person-years" may indicate a publication bias</w:t>
      </w:r>
      <w:r w:rsidR="00BE3D74">
        <w:rPr>
          <w:rFonts w:ascii="Arial" w:eastAsia="Arial" w:hAnsi="Arial" w:cs="Arial"/>
        </w:rPr>
        <w:t>.</w:t>
      </w:r>
      <w:r w:rsidR="00512B6F">
        <w:rPr>
          <w:rFonts w:ascii="Arial" w:eastAsia="Arial" w:hAnsi="Arial" w:cs="Arial"/>
        </w:rPr>
        <w:t xml:space="preserve">30,32 </w:t>
      </w:r>
      <w:r w:rsidRPr="003556BD">
        <w:rPr>
          <w:rFonts w:ascii="Arial" w:eastAsia="Arial" w:hAnsi="Arial" w:cs="Arial"/>
        </w:rPr>
        <w:t>There was no significant distinction between the groups (p-0,83), and the risk of hypotension did not increase. Rong and colleagues found no statistically significant increase in the aforementioned risk (RR 1,17; 95% CI: 0,65-2,09). However, there was a higher incidence of hypotension in patients who were under the age of 60 and/or those whose mean blood pressure was ≤130x90 mmHg prior to initiating treatment. In Other subsequent study in 2022, it was reported that there is an increased risk of hypovolemia (RR 1,12 95% CI: 1,02-1,22) in patients with an estimated glomerular filtration rate (GFR) &lt;60 mL/min/1.73 m²</w:t>
      </w:r>
      <w:r w:rsidR="00512B6F">
        <w:rPr>
          <w:rFonts w:ascii="Arial" w:eastAsia="Arial" w:hAnsi="Arial" w:cs="Arial"/>
        </w:rPr>
        <w:t>.35</w:t>
      </w:r>
      <w:r w:rsidRPr="003556BD">
        <w:rPr>
          <w:rFonts w:ascii="Arial" w:eastAsia="Arial" w:hAnsi="Arial" w:cs="Arial"/>
        </w:rPr>
        <w:t xml:space="preserve"> Most studies excluded patients with a GFR &lt;20 mL/min/1.73m² or systolic blood pressure (SBP) &lt;100. The potential for orthostatic hypotension should be </w:t>
      </w:r>
      <w:r w:rsidRPr="003556BD">
        <w:rPr>
          <w:rFonts w:ascii="Arial" w:eastAsia="Arial" w:hAnsi="Arial" w:cs="Arial"/>
        </w:rPr>
        <w:lastRenderedPageBreak/>
        <w:t>considered in patients who are elderly, have long-standing diabetes, and have certain blood pressure levels at baseline, as well as in patients with comorbidities.</w:t>
      </w:r>
      <w:r w:rsidR="002E5188">
        <w:rPr>
          <w:rFonts w:ascii="Arial" w:eastAsia="Arial" w:hAnsi="Arial" w:cs="Arial"/>
        </w:rPr>
        <w:t>38</w:t>
      </w:r>
      <w:r w:rsidRPr="003556BD">
        <w:rPr>
          <w:rFonts w:ascii="Arial" w:eastAsia="Arial" w:hAnsi="Arial" w:cs="Arial"/>
        </w:rPr>
        <w:t xml:space="preserve"> The potential for orthostatic hypotension should be considered in patients who are elderly, have long-standing diabetes, and have certain blood pressure levels at baseline, as well as in patients with comorbidities. A substantial rise of 327% (p-&lt;0,00001) in genitourinary mycotic infections was observed. It is suggested that patients at higher risk for mycotic infections be categorized, though there is a shortage of analyses that assess this side effect.</w:t>
      </w:r>
    </w:p>
    <w:p w14:paraId="6BBEE7E8" w14:textId="2D22B3A4" w:rsidR="003556BD" w:rsidRPr="003556BD" w:rsidRDefault="003556BD" w:rsidP="004160C1">
      <w:pPr>
        <w:spacing w:line="360" w:lineRule="auto"/>
        <w:ind w:firstLine="567"/>
        <w:jc w:val="both"/>
        <w:rPr>
          <w:rFonts w:ascii="Arial" w:eastAsia="Arial" w:hAnsi="Arial" w:cs="Arial"/>
        </w:rPr>
      </w:pPr>
      <w:r w:rsidRPr="003556BD">
        <w:rPr>
          <w:rFonts w:ascii="Arial" w:eastAsia="Arial" w:hAnsi="Arial" w:cs="Arial"/>
        </w:rPr>
        <w:t>There was a slight trend towards an increased risk of severe urinary infections, which lacked statistical significance (p=0,12). An observational study, conducted between 2019 and 2021, on 853 UTI patients admitted to the hospital, showed that the risk of UTI was higher by 3,70 times in ISGLT2 users compared to those under conventional therapy, with a p-value less than 0,001. Additionally, the risk was higher in women (OR 1,75; p=0,031). However, the findings contradict this study, which included over 700,000 patients and found no significant increase in outpatient UTI risk (OR 0,98; 95% CI, 0,68-1,41). Therefore, for patients with low UTI risk, ISGLT2 appears to be a safe option.</w:t>
      </w:r>
      <w:r w:rsidR="00B7485A">
        <w:rPr>
          <w:rFonts w:ascii="Arial" w:eastAsia="Arial" w:hAnsi="Arial" w:cs="Arial"/>
        </w:rPr>
        <w:t>40</w:t>
      </w:r>
      <w:r w:rsidRPr="003556BD">
        <w:rPr>
          <w:rFonts w:ascii="Arial" w:eastAsia="Arial" w:hAnsi="Arial" w:cs="Arial"/>
        </w:rPr>
        <w:t xml:space="preserve"> Nevertheless, the lack of clear explanation for discontinuation remains a critical limitation in this systematic review. </w:t>
      </w:r>
    </w:p>
    <w:p w14:paraId="2FC840E1" w14:textId="7A54C6D2" w:rsidR="00460676" w:rsidRPr="00EE02DB" w:rsidRDefault="003556BD" w:rsidP="00EE02DB">
      <w:pPr>
        <w:spacing w:line="360" w:lineRule="auto"/>
        <w:ind w:firstLine="567"/>
        <w:jc w:val="both"/>
        <w:rPr>
          <w:rFonts w:ascii="Arial" w:eastAsia="Arial" w:hAnsi="Arial" w:cs="Arial"/>
        </w:rPr>
      </w:pPr>
      <w:r w:rsidRPr="003556BD">
        <w:rPr>
          <w:rFonts w:ascii="Arial" w:eastAsia="Arial" w:hAnsi="Arial" w:cs="Arial"/>
        </w:rPr>
        <w:t>Our study's primary limitations included variations in the eligibility of selected DM2 patients, discrepancies in the duration of RCTs, and inadequate specification regarding the degree and timing of established cardiovascular disease in most patients. As a result, further research is required to clarify the impact of this category of drugs on primary prevention. The considerable amount of inaccessible or incomplete primary data may prevent a fully accurate analysis, which could be rectified if the authors were able to retrieve all the data. Our systematic review did not encompass real-life studies. As real-life studies and clinical trials in specific subpopulations are published, our assumed gaps may be filled over time.</w:t>
      </w:r>
    </w:p>
    <w:p w14:paraId="306DCBE2" w14:textId="77777777" w:rsidR="00460676" w:rsidRDefault="00460676" w:rsidP="00920471">
      <w:pPr>
        <w:pStyle w:val="Inter-pargrafopadro"/>
        <w:spacing w:before="0" w:line="240" w:lineRule="auto"/>
        <w:ind w:firstLine="567"/>
        <w:rPr>
          <w:rFonts w:cs="Arial"/>
          <w:color w:val="000000" w:themeColor="text1"/>
        </w:rPr>
      </w:pPr>
    </w:p>
    <w:p w14:paraId="7F337643" w14:textId="77777777" w:rsidR="0021255D" w:rsidRDefault="00920471" w:rsidP="0021255D">
      <w:pPr>
        <w:shd w:val="clear" w:color="auto" w:fill="4F81BD" w:themeFill="accent1"/>
        <w:rPr>
          <w:rFonts w:ascii="Arial" w:hAnsi="Arial" w:cs="Arial"/>
          <w:sz w:val="16"/>
        </w:rPr>
      </w:pPr>
      <w:r>
        <w:rPr>
          <w:rFonts w:ascii="Arial" w:hAnsi="Arial" w:cs="Arial"/>
          <w:b/>
          <w:color w:val="FFFFFF" w:themeColor="background1"/>
        </w:rPr>
        <w:t>5</w:t>
      </w:r>
      <w:r w:rsidR="0021255D">
        <w:rPr>
          <w:rFonts w:ascii="Arial" w:hAnsi="Arial" w:cs="Arial"/>
          <w:b/>
          <w:color w:val="FFFFFF" w:themeColor="background1"/>
        </w:rPr>
        <w:t xml:space="preserve">. </w:t>
      </w:r>
      <w:r w:rsidR="007B0B41">
        <w:rPr>
          <w:rFonts w:ascii="Arial" w:hAnsi="Arial" w:cs="Arial"/>
          <w:b/>
          <w:color w:val="FFFFFF" w:themeColor="background1"/>
        </w:rPr>
        <w:t>CONSIDERAÇÕES FINAIS</w:t>
      </w:r>
    </w:p>
    <w:p w14:paraId="744CEE62" w14:textId="77777777" w:rsidR="0021255D" w:rsidRPr="00BD29F3" w:rsidRDefault="0021255D" w:rsidP="00D602D3">
      <w:pPr>
        <w:pStyle w:val="TextosemFormatao2"/>
        <w:rPr>
          <w:rFonts w:ascii="Arial" w:hAnsi="Arial" w:cs="Arial"/>
          <w:szCs w:val="24"/>
        </w:rPr>
      </w:pPr>
    </w:p>
    <w:p w14:paraId="55D79549" w14:textId="666A773D" w:rsidR="00E97BE6" w:rsidRPr="00115A64" w:rsidRDefault="00115A64" w:rsidP="00115A64">
      <w:pPr>
        <w:spacing w:line="360" w:lineRule="auto"/>
        <w:ind w:firstLine="567"/>
        <w:jc w:val="both"/>
        <w:rPr>
          <w:rFonts w:ascii="Arial" w:hAnsi="Arial" w:cs="Arial"/>
          <w:color w:val="000000"/>
        </w:rPr>
      </w:pPr>
      <w:r w:rsidRPr="00115A64">
        <w:rPr>
          <w:rFonts w:ascii="Arial" w:hAnsi="Arial" w:cs="Arial"/>
          <w:color w:val="000000"/>
        </w:rPr>
        <w:t xml:space="preserve">Treatment with ISGLT2 in patients with type 2 diabetes mellitus reduced the rate of hospitalization for heart failure and slowed the progression of kidney disease or combined renal outcomes. However, these drugs did not significantly affect the major combined endpoint. The reduction in mean glycated hemoglobin levels was minor or insignificant, and glycemic control was inadequate to meet recommended targets. Risk-based prescribing </w:t>
      </w:r>
      <w:r w:rsidRPr="00115A64">
        <w:rPr>
          <w:rFonts w:ascii="Arial" w:hAnsi="Arial" w:cs="Arial"/>
          <w:color w:val="000000"/>
        </w:rPr>
        <w:lastRenderedPageBreak/>
        <w:t>criteria need to be developed for female patients, patients with long-standing diabetes, patients who are at risk of urinary tract infections, frail patients, and those at risk of fractures. Additionally, there is a need to gain better insight into the effects of this drug class on primary prevention.</w:t>
      </w:r>
    </w:p>
    <w:p w14:paraId="3E11E46E" w14:textId="77777777" w:rsidR="00920471" w:rsidRPr="00920471" w:rsidRDefault="00920471" w:rsidP="00920471">
      <w:pPr>
        <w:ind w:firstLine="567"/>
        <w:jc w:val="both"/>
        <w:rPr>
          <w:rFonts w:ascii="Arial" w:eastAsia="Arial" w:hAnsi="Arial" w:cs="Arial"/>
        </w:rPr>
      </w:pPr>
    </w:p>
    <w:p w14:paraId="652A5409" w14:textId="33497340" w:rsidR="00EB01B4" w:rsidRPr="00E40E3F" w:rsidRDefault="00D6702E" w:rsidP="00E40E3F">
      <w:pPr>
        <w:shd w:val="clear" w:color="auto" w:fill="4F81BD" w:themeFill="accent1"/>
        <w:rPr>
          <w:rFonts w:ascii="Arial" w:hAnsi="Arial" w:cs="Arial"/>
          <w:b/>
          <w:color w:val="FFFFFF" w:themeColor="background1"/>
          <w:szCs w:val="20"/>
        </w:rPr>
      </w:pPr>
      <w:r w:rsidRPr="00D6702E">
        <w:rPr>
          <w:rFonts w:ascii="Arial" w:hAnsi="Arial" w:cs="Arial"/>
          <w:b/>
          <w:color w:val="FFFFFF" w:themeColor="background1"/>
        </w:rPr>
        <w:t>REFERÊNCIAS</w:t>
      </w:r>
    </w:p>
    <w:p w14:paraId="36F554D4" w14:textId="48617A8C" w:rsidR="00F14713" w:rsidRPr="00F14713" w:rsidRDefault="00F14713" w:rsidP="0003429B">
      <w:pPr>
        <w:pStyle w:val="NormalWeb"/>
        <w:jc w:val="both"/>
        <w:rPr>
          <w:rFonts w:ascii="Arial" w:hAnsi="Arial" w:cs="Arial"/>
          <w:lang w:val="en-US"/>
        </w:rPr>
      </w:pPr>
      <w:r w:rsidRPr="00F14713">
        <w:rPr>
          <w:rFonts w:ascii="Arial" w:hAnsi="Arial" w:cs="Arial"/>
          <w:lang w:val="en-US"/>
        </w:rPr>
        <w:t>1. Fang M, Wang D, Coresh J, Selvin E. Trends in diabetes treatment and control in US adults, 1999–2018. N Engl J Med. 2021 Jun 10;384(23):2219-28. Disponível em: http://dx.doi.org/10.1056/nejmsa2032271</w:t>
      </w:r>
    </w:p>
    <w:p w14:paraId="775CDAF3" w14:textId="5EA715C3" w:rsidR="00F14713" w:rsidRPr="00F14713" w:rsidRDefault="00F14713" w:rsidP="0003429B">
      <w:pPr>
        <w:pStyle w:val="NormalWeb"/>
        <w:jc w:val="both"/>
        <w:rPr>
          <w:rFonts w:ascii="Arial" w:hAnsi="Arial" w:cs="Arial"/>
          <w:lang w:val="en-US"/>
        </w:rPr>
      </w:pPr>
      <w:r w:rsidRPr="00F14713">
        <w:rPr>
          <w:rFonts w:ascii="Arial" w:hAnsi="Arial" w:cs="Arial"/>
          <w:lang w:val="en-US"/>
        </w:rPr>
        <w:t>2. Braunwald E. Gliflozins in the management of cardiovascular disease. N Engl J Med. 2022 May 26;386(21):2024-34. Disponível em: http://dx.doi.org/10.1056/nejmra2115011</w:t>
      </w:r>
    </w:p>
    <w:p w14:paraId="2AB69907" w14:textId="4AFACFED" w:rsidR="00F14713" w:rsidRPr="00F14713" w:rsidRDefault="00F14713" w:rsidP="0003429B">
      <w:pPr>
        <w:pStyle w:val="NormalWeb"/>
        <w:jc w:val="both"/>
        <w:rPr>
          <w:rFonts w:ascii="Arial" w:hAnsi="Arial" w:cs="Arial"/>
          <w:lang w:val="en-US"/>
        </w:rPr>
      </w:pPr>
      <w:r w:rsidRPr="00F14713">
        <w:rPr>
          <w:rFonts w:ascii="Arial" w:hAnsi="Arial" w:cs="Arial"/>
          <w:lang w:val="en-US"/>
        </w:rPr>
        <w:t>3. Bikbov B, Purcell CA, Levey AS, Smith M, Abdoli A, Abebe M, et al. Global, regional, and national burden of chronic kidney disease, 1990–2017: a systematic analysis for the Global Burden of Disease Study 2017. Lancet. 2020 Feb;395(10225):709-33. Disponível em: http://dx.doi.org/10.1016/s0140-6736(20)30045-3</w:t>
      </w:r>
    </w:p>
    <w:p w14:paraId="774A8CA8" w14:textId="13079B21" w:rsidR="00F14713" w:rsidRPr="00F14713" w:rsidRDefault="00F14713" w:rsidP="0003429B">
      <w:pPr>
        <w:pStyle w:val="NormalWeb"/>
        <w:jc w:val="both"/>
        <w:rPr>
          <w:rFonts w:ascii="Arial" w:hAnsi="Arial" w:cs="Arial"/>
          <w:lang w:val="en-US"/>
        </w:rPr>
      </w:pPr>
      <w:r w:rsidRPr="00F14713">
        <w:rPr>
          <w:rFonts w:ascii="Arial" w:hAnsi="Arial" w:cs="Arial"/>
          <w:lang w:val="en-US"/>
        </w:rPr>
        <w:t>4. Borges FA, Silva CA, Crajoinas RO, Castelo-Branco RC, Luchi WM, Girardi AC. Empagliflozin inhibits NHE3 activity in the proximal tubule of normotensive and hypertensive rats. FASEB J. 2018 Apr;32(1):1513-26. Disponível em: http://dx.doi.org/10.1096/fasebj.2018.32.1_supplement.lb355</w:t>
      </w:r>
    </w:p>
    <w:p w14:paraId="1680EAEB" w14:textId="25D70746" w:rsidR="00F14713" w:rsidRPr="00F14713" w:rsidRDefault="00F14713" w:rsidP="0003429B">
      <w:pPr>
        <w:pStyle w:val="NormalWeb"/>
        <w:jc w:val="both"/>
        <w:rPr>
          <w:rFonts w:ascii="Arial" w:hAnsi="Arial" w:cs="Arial"/>
          <w:lang w:val="en-US"/>
        </w:rPr>
      </w:pPr>
      <w:r w:rsidRPr="00F14713">
        <w:rPr>
          <w:rFonts w:ascii="Arial" w:hAnsi="Arial" w:cs="Arial"/>
          <w:lang w:val="en-US"/>
        </w:rPr>
        <w:t>5. The EMPA-KIDNEY Collaborative Group. Empagliflozin in patients with chronic kidney disease. N Engl J Med. 2023 Jan 12;388(2):117-27. Disponível em: http://dx.doi.org/10.1056/nejmoa2204233</w:t>
      </w:r>
    </w:p>
    <w:p w14:paraId="380D59F6" w14:textId="453ECA71" w:rsidR="00F14713" w:rsidRPr="00F14713" w:rsidRDefault="00F14713" w:rsidP="0003429B">
      <w:pPr>
        <w:pStyle w:val="NormalWeb"/>
        <w:jc w:val="both"/>
        <w:rPr>
          <w:rFonts w:ascii="Arial" w:hAnsi="Arial" w:cs="Arial"/>
          <w:lang w:val="en-US"/>
        </w:rPr>
      </w:pPr>
      <w:r w:rsidRPr="00F14713">
        <w:rPr>
          <w:rFonts w:ascii="Arial" w:hAnsi="Arial" w:cs="Arial"/>
          <w:lang w:val="en-US"/>
        </w:rPr>
        <w:t>6. International Diabetes Federation. IDF Diabetes Atlas. Brussels: International Diabetes Federation; 2015.</w:t>
      </w:r>
    </w:p>
    <w:p w14:paraId="17E986F6" w14:textId="14E92BDE" w:rsidR="00F14713" w:rsidRPr="00F14713" w:rsidRDefault="00F14713" w:rsidP="0003429B">
      <w:pPr>
        <w:pStyle w:val="NormalWeb"/>
        <w:jc w:val="both"/>
        <w:rPr>
          <w:rFonts w:ascii="Arial" w:hAnsi="Arial" w:cs="Arial"/>
          <w:lang w:val="en-US"/>
        </w:rPr>
      </w:pPr>
      <w:r w:rsidRPr="00F14713">
        <w:rPr>
          <w:rFonts w:ascii="Arial" w:hAnsi="Arial" w:cs="Arial"/>
          <w:lang w:val="en-US"/>
        </w:rPr>
        <w:t>7. Triozzi JL, Gregg LP, Virani SS, Navaneethan SD. Management of type 2 diabetes in chronic kidney disease. BMJ Open Diabetes Res Care. 2021 Jul;9(1):e002300. Disponível em: http://dx.doi.org/10.1136/bmjdrc-2021-002300</w:t>
      </w:r>
    </w:p>
    <w:p w14:paraId="25B990DA" w14:textId="50449CD1" w:rsidR="00F14713" w:rsidRPr="00F14713" w:rsidRDefault="00F14713" w:rsidP="0003429B">
      <w:pPr>
        <w:pStyle w:val="NormalWeb"/>
        <w:jc w:val="both"/>
        <w:rPr>
          <w:rFonts w:ascii="Arial" w:hAnsi="Arial" w:cs="Arial"/>
          <w:lang w:val="en-US"/>
        </w:rPr>
      </w:pPr>
      <w:r w:rsidRPr="00F14713">
        <w:rPr>
          <w:rFonts w:ascii="Arial" w:hAnsi="Arial" w:cs="Arial"/>
          <w:lang w:val="en-US"/>
        </w:rPr>
        <w:t>8. Salehidoost R, Mansouri A, Amini M, Aminorroaya SA, Aminorroaya A. Diabetes and all-cause mortality: an 18-year follow-up study. Sci Rep. 2020 Feb 21;10(1):2890. Disponível em: http://dx.doi.org/10.1038/s41598-020-60142-y</w:t>
      </w:r>
    </w:p>
    <w:p w14:paraId="68B9F67C" w14:textId="7340EE77" w:rsidR="00F14713" w:rsidRPr="00F14713" w:rsidRDefault="00F14713" w:rsidP="0003429B">
      <w:pPr>
        <w:pStyle w:val="NormalWeb"/>
        <w:jc w:val="both"/>
        <w:rPr>
          <w:rFonts w:ascii="Arial" w:hAnsi="Arial" w:cs="Arial"/>
          <w:lang w:val="en-US"/>
        </w:rPr>
      </w:pPr>
      <w:r w:rsidRPr="00F14713">
        <w:rPr>
          <w:rFonts w:ascii="Arial" w:hAnsi="Arial" w:cs="Arial"/>
          <w:lang w:val="en-US"/>
        </w:rPr>
        <w:t>9. Higgins JPT, Savovic J, Page MJ, Elbers RG, Sterne JAC. Assessing risk of bias in a randomized trial. In: Higgins JPT, Thomas J, Chandler J, Cumpston M, Li T, Page MJ, Welch VA, editors. Cochrane Handbook for Systematic Reviews of Interventions. 2nd ed. Chichester (UK): John Wiley &amp; Sons; 2019. p. 205-28. Disponível em: http://dx.doi.org/10.1002/9781119536604.ch8</w:t>
      </w:r>
    </w:p>
    <w:p w14:paraId="3F598332" w14:textId="1D0944B1" w:rsidR="00F14713" w:rsidRPr="00F14713" w:rsidRDefault="00F14713" w:rsidP="0003429B">
      <w:pPr>
        <w:pStyle w:val="NormalWeb"/>
        <w:jc w:val="both"/>
        <w:rPr>
          <w:rFonts w:ascii="Arial" w:hAnsi="Arial" w:cs="Arial"/>
          <w:lang w:val="en-US"/>
        </w:rPr>
      </w:pPr>
      <w:r w:rsidRPr="00F14713">
        <w:rPr>
          <w:rFonts w:ascii="Arial" w:hAnsi="Arial" w:cs="Arial"/>
          <w:lang w:val="en-US"/>
        </w:rPr>
        <w:lastRenderedPageBreak/>
        <w:t>10. Shea BJ, Reeves BC, Wells G, Thuku M, Hamel C, Moran J, et al. AMSTAR 2: a critical appraisal tool for systematic reviews that include randomised or non-randomised studies of healthcare interventions, or both. BMJ. 2017 Sep 21;358:j4008. Disponível em: http://dx.doi.org/10.1136/bmj.j4008</w:t>
      </w:r>
    </w:p>
    <w:p w14:paraId="507401FF" w14:textId="079CFEB7" w:rsidR="00F14713" w:rsidRPr="00F14713" w:rsidRDefault="00F14713" w:rsidP="0003429B">
      <w:pPr>
        <w:pStyle w:val="NormalWeb"/>
        <w:jc w:val="both"/>
        <w:rPr>
          <w:rFonts w:ascii="Arial" w:hAnsi="Arial" w:cs="Arial"/>
          <w:lang w:val="en-US"/>
        </w:rPr>
      </w:pPr>
      <w:r w:rsidRPr="00F14713">
        <w:rPr>
          <w:rFonts w:ascii="Arial" w:hAnsi="Arial" w:cs="Arial"/>
          <w:lang w:val="en-US"/>
        </w:rPr>
        <w:t>11. Moher D, Liberati A, Tetzlaff J, Altman DG. Preferred reporting items for systematic reviews and meta-analyses: the PRISMA statement. PLoS Med. 2009 Jul 21;6(7):e1000097. Disponível em: http://dx.doi.org/10.1371/journal.pmed.1000097</w:t>
      </w:r>
    </w:p>
    <w:p w14:paraId="50615855" w14:textId="2CE45FBD" w:rsidR="00F14713" w:rsidRPr="00F14713" w:rsidRDefault="00F14713" w:rsidP="0003429B">
      <w:pPr>
        <w:pStyle w:val="NormalWeb"/>
        <w:jc w:val="both"/>
        <w:rPr>
          <w:rFonts w:ascii="Arial" w:hAnsi="Arial" w:cs="Arial"/>
          <w:lang w:val="en-US"/>
        </w:rPr>
      </w:pPr>
      <w:r w:rsidRPr="00F14713">
        <w:rPr>
          <w:rFonts w:ascii="Arial" w:hAnsi="Arial" w:cs="Arial"/>
          <w:lang w:val="en-US"/>
        </w:rPr>
        <w:t>12. Santos CMC, Pimenta CA, Nobre MRC. The PICO strategy for the research question construction and evidence search. Rev Latino-Am Enfermagem. 2007 Jun;15(3):508-11. Disponível em: http://dx.doi.org/10.1590/s0104-11692007000300023</w:t>
      </w:r>
    </w:p>
    <w:p w14:paraId="196DF5A9" w14:textId="5039A469" w:rsidR="00F14713" w:rsidRPr="00F14713" w:rsidRDefault="00F14713" w:rsidP="0003429B">
      <w:pPr>
        <w:pStyle w:val="NormalWeb"/>
        <w:jc w:val="both"/>
        <w:rPr>
          <w:rFonts w:ascii="Arial" w:hAnsi="Arial" w:cs="Arial"/>
          <w:lang w:val="en-US"/>
        </w:rPr>
      </w:pPr>
      <w:r w:rsidRPr="00F14713">
        <w:rPr>
          <w:rFonts w:ascii="Arial" w:hAnsi="Arial" w:cs="Arial"/>
          <w:lang w:val="en-US"/>
        </w:rPr>
        <w:t>13. Aromataris E, Pearson A. The systematic review. Am J Nurs. 2014 Mar;114(3):53-8. Disponível em: http://dx.doi.org/10.1097/01.naj.0000444496.24228.2c</w:t>
      </w:r>
    </w:p>
    <w:p w14:paraId="4592CC7C" w14:textId="189D6E02" w:rsidR="00F14713" w:rsidRPr="00F14713" w:rsidRDefault="00F14713" w:rsidP="0003429B">
      <w:pPr>
        <w:pStyle w:val="NormalWeb"/>
        <w:jc w:val="both"/>
        <w:rPr>
          <w:rFonts w:ascii="Arial" w:hAnsi="Arial" w:cs="Arial"/>
          <w:lang w:val="en-US"/>
        </w:rPr>
      </w:pPr>
      <w:r w:rsidRPr="00F14713">
        <w:rPr>
          <w:rFonts w:ascii="Arial" w:hAnsi="Arial" w:cs="Arial"/>
          <w:lang w:val="en-US"/>
        </w:rPr>
        <w:t>14. Ouzzani M, Hammady H, Fedorowicz Z, Elmagarmid A. Rayyan: a web and mobile app for systematic reviews. Syst Rev. 2016 Dec;5(1):210. Disponível em: http://dx.doi.org/10.1186/s13643-016-0384-4</w:t>
      </w:r>
    </w:p>
    <w:p w14:paraId="04EC73A2" w14:textId="1BAABA47" w:rsidR="00F14713" w:rsidRPr="00F14713" w:rsidRDefault="00F14713" w:rsidP="0003429B">
      <w:pPr>
        <w:pStyle w:val="NormalWeb"/>
        <w:jc w:val="both"/>
        <w:rPr>
          <w:rFonts w:ascii="Arial" w:hAnsi="Arial" w:cs="Arial"/>
          <w:lang w:val="en-US"/>
        </w:rPr>
      </w:pPr>
      <w:r w:rsidRPr="00F14713">
        <w:rPr>
          <w:rFonts w:ascii="Arial" w:hAnsi="Arial" w:cs="Arial"/>
          <w:lang w:val="en-US"/>
        </w:rPr>
        <w:t>15. McGuinness LA, Higgins JPT. Risk-of-bias VISualization (robvis): an R package and shiny web app for visualizing risk-of-bias assessments. Res Synth Methods. 2021 Jan;12(1):55-61. Disponível em: http://dx.doi.org/10.1002/jrsm.1411</w:t>
      </w:r>
    </w:p>
    <w:p w14:paraId="748B2084" w14:textId="7FB902E4" w:rsidR="00F14713" w:rsidRPr="00F14713" w:rsidRDefault="00F14713" w:rsidP="0003429B">
      <w:pPr>
        <w:pStyle w:val="NormalWeb"/>
        <w:jc w:val="both"/>
        <w:rPr>
          <w:rFonts w:ascii="Arial" w:hAnsi="Arial" w:cs="Arial"/>
          <w:lang w:val="en-US"/>
        </w:rPr>
      </w:pPr>
      <w:r w:rsidRPr="00F14713">
        <w:rPr>
          <w:rFonts w:ascii="Arial" w:hAnsi="Arial" w:cs="Arial"/>
          <w:lang w:val="en-US"/>
        </w:rPr>
        <w:t>16. Brasil. Ministério da Saúde. Secretaria de Ciência, Tecnologia e Insumos Estratégicos. Departamento de Ciência e Tecnologia. Diretrizes metodológicas: Sistema GRADE – Manual de graduação da qualidade da evidência e força de recomendação para tomada de decisão em saúde. Brasília: Ministério da Saúde; 2014.</w:t>
      </w:r>
    </w:p>
    <w:p w14:paraId="71DC7E18" w14:textId="77B0E181" w:rsidR="00F14713" w:rsidRPr="00F14713" w:rsidRDefault="00F14713" w:rsidP="0003429B">
      <w:pPr>
        <w:pStyle w:val="NormalWeb"/>
        <w:jc w:val="both"/>
        <w:rPr>
          <w:rFonts w:ascii="Arial" w:hAnsi="Arial" w:cs="Arial"/>
          <w:lang w:val="en-US"/>
        </w:rPr>
      </w:pPr>
      <w:r w:rsidRPr="00F14713">
        <w:rPr>
          <w:rFonts w:ascii="Arial" w:hAnsi="Arial" w:cs="Arial"/>
          <w:lang w:val="en-US"/>
        </w:rPr>
        <w:t>17. Bhatia J, Gamad N, Bharti S, Arya DS. Canagliflozin: current status in the treatment of type 2 diabetes mellitus with focus on clinical trial data. World J Diabetes. 2014 Jun 15;5(3):399-406. Disponível em: http://dx.doi.org/10.4239/wjd.v5.i3.399</w:t>
      </w:r>
    </w:p>
    <w:p w14:paraId="003D9423" w14:textId="57C81BA8" w:rsidR="00F14713" w:rsidRPr="00F14713" w:rsidRDefault="00F14713" w:rsidP="0003429B">
      <w:pPr>
        <w:pStyle w:val="NormalWeb"/>
        <w:jc w:val="both"/>
        <w:rPr>
          <w:rFonts w:ascii="Arial" w:hAnsi="Arial" w:cs="Arial"/>
          <w:lang w:val="en-US"/>
        </w:rPr>
      </w:pPr>
      <w:r w:rsidRPr="00F14713">
        <w:rPr>
          <w:rFonts w:ascii="Arial" w:hAnsi="Arial" w:cs="Arial"/>
          <w:lang w:val="en-US"/>
        </w:rPr>
        <w:t>18. Stenlöf K, Cefalú WT, Kim KA, et al. Eficácia e segurança a longo prazo da monoterapia com canagliflozina em doentes com diabetes tipo 2 inadequadamente controlados com dieta e exercício: resultados do estudo CANTATA-M de 52 semanas. Curr Med Res Opin. 2014 Feb;30(2):163-75. Disponível em: http://dx.doi.org/10.1185/03007995.2013.850066</w:t>
      </w:r>
    </w:p>
    <w:p w14:paraId="4C68B42B" w14:textId="32D9D75F" w:rsidR="00F14713" w:rsidRPr="00F14713" w:rsidRDefault="00F14713" w:rsidP="0003429B">
      <w:pPr>
        <w:pStyle w:val="NormalWeb"/>
        <w:jc w:val="both"/>
        <w:rPr>
          <w:rFonts w:ascii="Arial" w:hAnsi="Arial" w:cs="Arial"/>
          <w:lang w:val="en-US"/>
        </w:rPr>
      </w:pPr>
      <w:r w:rsidRPr="00F14713">
        <w:rPr>
          <w:rFonts w:ascii="Arial" w:hAnsi="Arial" w:cs="Arial"/>
          <w:lang w:val="en-US"/>
        </w:rPr>
        <w:t>19. Zinman B, Wanner C, Lachin JM, Fitchett D, Bluhmki E, Hantel S, et al. Empagliflozin, cardiovascular outcomes, and mortality in type 2 diabetes. N Engl J Med. 2015 Nov 26;373(22):2117-28. Disponível em: http://dx.doi.org/10.1056/nejmoa1504720</w:t>
      </w:r>
    </w:p>
    <w:p w14:paraId="693BAE9A" w14:textId="67D4ABF0" w:rsidR="00EB01B4" w:rsidRPr="00EB01B4" w:rsidRDefault="00F14713" w:rsidP="0003429B">
      <w:pPr>
        <w:pStyle w:val="NormalWeb"/>
        <w:jc w:val="both"/>
        <w:rPr>
          <w:rFonts w:ascii="Arial" w:hAnsi="Arial" w:cs="Arial"/>
        </w:rPr>
      </w:pPr>
      <w:r w:rsidRPr="00F14713">
        <w:rPr>
          <w:rFonts w:ascii="Arial" w:hAnsi="Arial" w:cs="Arial"/>
          <w:lang w:val="en-US"/>
        </w:rPr>
        <w:t>20. Neal B, Perkovic V, Mahaffey KW, de Zeeuw D, Fulcher G, Erondu N, et al. Canagliflozin and cardiovascular and renal events in type 2 diabetes. N Engl J Med. 2017 Aug 17;377(7):644-57. Disponível em: http://dx.doi.org/10.1056/nejmoa1611925</w:t>
      </w:r>
      <w:r w:rsidR="00EB01B4" w:rsidRPr="00EB01B4">
        <w:rPr>
          <w:rFonts w:ascii="Arial" w:hAnsi="Arial" w:cs="Arial"/>
        </w:rPr>
        <w:t>2 Santos RNM, Kobashi NY. Bibliometria, cientometria, infometria: conceitos e aplicações. Pesq bras Ci Inf. 2009;2(1):155-172.</w:t>
      </w:r>
    </w:p>
    <w:p w14:paraId="3D39410F" w14:textId="3D8BD5C9" w:rsidR="00F65E06" w:rsidRPr="00F65E06" w:rsidRDefault="00F65E06" w:rsidP="0003429B">
      <w:pPr>
        <w:pStyle w:val="NormalWeb"/>
        <w:jc w:val="both"/>
        <w:rPr>
          <w:rFonts w:ascii="Arial" w:hAnsi="Arial" w:cs="Arial"/>
        </w:rPr>
      </w:pPr>
      <w:r w:rsidRPr="00F65E06">
        <w:rPr>
          <w:rFonts w:ascii="Arial" w:hAnsi="Arial" w:cs="Arial"/>
        </w:rPr>
        <w:lastRenderedPageBreak/>
        <w:t>21. Zaccardi F, Webb DR, Htike ZZ, Youssef D, Khunti K, Davies MJ. Efficacy and safety of sodium-glucose co-transporter-2 inhibitors in type 2 diabetes mellitus: systematic review and network meta-analysis. Diabetes Obes Metab. 2016 Aug;18(8):783-94. Disponível em: http://dx.doi.org/10.1111/dom.12670</w:t>
      </w:r>
    </w:p>
    <w:p w14:paraId="51BAFEBC" w14:textId="51EA9E05" w:rsidR="00F65E06" w:rsidRPr="00F65E06" w:rsidRDefault="00F65E06" w:rsidP="0003429B">
      <w:pPr>
        <w:pStyle w:val="NormalWeb"/>
        <w:jc w:val="both"/>
        <w:rPr>
          <w:rFonts w:ascii="Arial" w:hAnsi="Arial" w:cs="Arial"/>
        </w:rPr>
      </w:pPr>
      <w:r w:rsidRPr="00F65E06">
        <w:rPr>
          <w:rFonts w:ascii="Arial" w:hAnsi="Arial" w:cs="Arial"/>
        </w:rPr>
        <w:t>22. Ahmad E, Lim S, Lamptey R, Webb DR, Davies MJ. Type 2 diabetes. Lancet. 2022 Nov;400(10365):1803-20. Disponível em: http://dx.doi.org/10.1016/s0140-6736(22)01655-5</w:t>
      </w:r>
      <w:r w:rsidR="002F7E1E">
        <w:rPr>
          <w:rFonts w:ascii="Arial" w:hAnsi="Arial" w:cs="Arial"/>
        </w:rPr>
        <w:t>.</w:t>
      </w:r>
    </w:p>
    <w:p w14:paraId="79D5D957" w14:textId="30BD032E" w:rsidR="00F65E06" w:rsidRPr="00F65E06" w:rsidRDefault="00F65E06" w:rsidP="0003429B">
      <w:pPr>
        <w:pStyle w:val="NormalWeb"/>
        <w:jc w:val="both"/>
        <w:rPr>
          <w:rFonts w:ascii="Arial" w:hAnsi="Arial" w:cs="Arial"/>
        </w:rPr>
      </w:pPr>
      <w:r w:rsidRPr="00F65E06">
        <w:rPr>
          <w:rFonts w:ascii="Arial" w:hAnsi="Arial" w:cs="Arial"/>
        </w:rPr>
        <w:t>23. Salah HM, Al'Aref SJ, Khan MS, Al-Hawwas M, Vallurupalli S, Mehta JL, et al. Efficacy and safety of sodium-glucose cotransporter 2 inhibitors initiation in patients with acute heart failure, with and without type 2 diabetes: a systematic review and meta-analysis. Cardiovasc Diabetol. 2022 Feb 5;21(1):48. Disponível em: http://dx.doi.org/10.1186/s12933-022-01455-2</w:t>
      </w:r>
    </w:p>
    <w:p w14:paraId="6513CE85" w14:textId="657279D6" w:rsidR="00F65E06" w:rsidRPr="00F65E06" w:rsidRDefault="00F65E06" w:rsidP="0003429B">
      <w:pPr>
        <w:pStyle w:val="NormalWeb"/>
        <w:jc w:val="both"/>
        <w:rPr>
          <w:rFonts w:ascii="Arial" w:hAnsi="Arial" w:cs="Arial"/>
        </w:rPr>
      </w:pPr>
      <w:r w:rsidRPr="00F65E06">
        <w:rPr>
          <w:rFonts w:ascii="Arial" w:hAnsi="Arial" w:cs="Arial"/>
        </w:rPr>
        <w:t>24. Anker SD, Butler J, Filippatos G, Ferreira JP, Bocchi E, Böhm M, et al. Empagliflozin in heart failure with a preserved ejection fraction. N Engl J Med. 2021 Oct 14;385(16):1451-61. Disponível em: http://dx.doi.org/10.1056/nejmoa2107038</w:t>
      </w:r>
    </w:p>
    <w:p w14:paraId="3D944484" w14:textId="5E2FBBA0" w:rsidR="00F65E06" w:rsidRPr="00F65E06" w:rsidRDefault="00F65E06" w:rsidP="0003429B">
      <w:pPr>
        <w:pStyle w:val="NormalWeb"/>
        <w:jc w:val="both"/>
        <w:rPr>
          <w:rFonts w:ascii="Arial" w:hAnsi="Arial" w:cs="Arial"/>
        </w:rPr>
      </w:pPr>
      <w:r w:rsidRPr="00F65E06">
        <w:rPr>
          <w:rFonts w:ascii="Arial" w:hAnsi="Arial" w:cs="Arial"/>
        </w:rPr>
        <w:t>25. Pabel S, Hamdani N, Luedde M, Sossalla S. SGLT2 inhibitors and their mode of action in heart failure—has the mystery been unraveled? Curr Heart Fail Rep. 2021 Sep;18(5):315-28. Disponível em: http://dx.doi.org/10.1007/s11897-021-00529-8</w:t>
      </w:r>
    </w:p>
    <w:p w14:paraId="45C9965F" w14:textId="683DC0A4" w:rsidR="00F65E06" w:rsidRPr="00F65E06" w:rsidRDefault="00F65E06" w:rsidP="0003429B">
      <w:pPr>
        <w:pStyle w:val="NormalWeb"/>
        <w:jc w:val="both"/>
        <w:rPr>
          <w:rFonts w:ascii="Arial" w:hAnsi="Arial" w:cs="Arial"/>
        </w:rPr>
      </w:pPr>
      <w:r w:rsidRPr="00F65E06">
        <w:rPr>
          <w:rFonts w:ascii="Arial" w:hAnsi="Arial" w:cs="Arial"/>
        </w:rPr>
        <w:t>26. Heerspink HJL, Karasik A, Thuresson M, Melzer-Cohen C, Chodick G, Khunti K, et al. Kidney outcomes associated with use of SGLT2 inhibitors in real-world clinical practice (CVD-REAL 3): a multinational observational cohort study. Lancet Diabetes Endocrinol. 2020 Jan;8(1):27-35. Disponível em: http://dx.doi.org/10.1016/s2213-8587(19)30384-5</w:t>
      </w:r>
    </w:p>
    <w:p w14:paraId="6959328D" w14:textId="2414336A" w:rsidR="00F65E06" w:rsidRPr="00F65E06" w:rsidRDefault="00F65E06" w:rsidP="0003429B">
      <w:pPr>
        <w:pStyle w:val="NormalWeb"/>
        <w:jc w:val="both"/>
        <w:rPr>
          <w:rFonts w:ascii="Arial" w:hAnsi="Arial" w:cs="Arial"/>
        </w:rPr>
      </w:pPr>
      <w:r w:rsidRPr="00F65E06">
        <w:rPr>
          <w:rFonts w:ascii="Arial" w:hAnsi="Arial" w:cs="Arial"/>
        </w:rPr>
        <w:t>27. Chung MC, Hung PH, Hsiao PJ, Wu LY, Chang CH, Wu MJ, et al. Association of sodium-glucose transport protein 2 inhibitor use for type 2 diabetes and incidence of gout in Taiwan. JAMA Netw Open. 2021 Nov 19;4(11):e2135353. Disponível em: http://dx.doi.org/10.1001/jamanetworkopen.2021.35353</w:t>
      </w:r>
    </w:p>
    <w:p w14:paraId="7CA036C7" w14:textId="36052933" w:rsidR="00F65E06" w:rsidRPr="00F65E06" w:rsidRDefault="00F65E06" w:rsidP="0003429B">
      <w:pPr>
        <w:pStyle w:val="NormalWeb"/>
        <w:jc w:val="both"/>
        <w:rPr>
          <w:rFonts w:ascii="Arial" w:hAnsi="Arial" w:cs="Arial"/>
        </w:rPr>
      </w:pPr>
      <w:r w:rsidRPr="00F65E06">
        <w:rPr>
          <w:rFonts w:ascii="Arial" w:hAnsi="Arial" w:cs="Arial"/>
        </w:rPr>
        <w:t>28. Silverii GA, Monami M, Mannucci E. Sodium-glucose co-transporter-2 inhibitors and all-cause mortality: a meta-analysis of randomized controlled trials. Diabetes Obes Metab. 2020 Dec;23(4):1052-6. Disponível em: http://dx.doi.org/10.1111/dom.14286</w:t>
      </w:r>
    </w:p>
    <w:p w14:paraId="04E13B5D" w14:textId="7F0A4C23" w:rsidR="00F65E06" w:rsidRPr="00F65E06" w:rsidRDefault="00F65E06" w:rsidP="0003429B">
      <w:pPr>
        <w:pStyle w:val="NormalWeb"/>
        <w:jc w:val="both"/>
        <w:rPr>
          <w:rFonts w:ascii="Arial" w:hAnsi="Arial" w:cs="Arial"/>
        </w:rPr>
      </w:pPr>
      <w:r w:rsidRPr="00F65E06">
        <w:rPr>
          <w:rFonts w:ascii="Arial" w:hAnsi="Arial" w:cs="Arial"/>
        </w:rPr>
        <w:t>29. D’Andrea E, Wexler DJ, Kim SC, Paik JM, Alt E, Paterno E. Comparing effectiveness and safety of SGLT2 inhibitors vs DPP-4 inhibitors in patients with type 2 diabetes and varying baseline HbA1c levels. JAMA Intern Med. 2023 Mar 1;183(3):242-50. Disponível em: http://dx.doi.org/10.1001/jamainternmed.2022.6664</w:t>
      </w:r>
    </w:p>
    <w:p w14:paraId="3B5AA4FA" w14:textId="7EEFF710" w:rsidR="00F65E06" w:rsidRPr="00F65E06" w:rsidRDefault="00F65E06" w:rsidP="0003429B">
      <w:pPr>
        <w:pStyle w:val="NormalWeb"/>
        <w:jc w:val="both"/>
        <w:rPr>
          <w:rFonts w:ascii="Arial" w:hAnsi="Arial" w:cs="Arial"/>
        </w:rPr>
      </w:pPr>
      <w:r w:rsidRPr="00F65E06">
        <w:rPr>
          <w:rFonts w:ascii="Arial" w:hAnsi="Arial" w:cs="Arial"/>
        </w:rPr>
        <w:t>30.</w:t>
      </w:r>
      <w:r w:rsidR="00B62C3D">
        <w:rPr>
          <w:rFonts w:ascii="Arial" w:hAnsi="Arial" w:cs="Arial"/>
        </w:rPr>
        <w:t xml:space="preserve"> </w:t>
      </w:r>
      <w:r w:rsidR="00B62C3D" w:rsidRPr="00F65E06">
        <w:rPr>
          <w:rFonts w:ascii="Arial" w:hAnsi="Arial" w:cs="Arial"/>
        </w:rPr>
        <w:t>Perkovic V, Jardine MJ, Neal B, Bompoint S, Heerspink HJL, Charytan DM, et al. Canagliflozin and renal outcomes in type 2 diabetes and nephropathy. N Engl J Med. 2019 Jun 13;380(24):2295-306. Disponível em: http://dx.doi.org/10.1056/nejmoa1811744</w:t>
      </w:r>
    </w:p>
    <w:p w14:paraId="6C5A6BA5" w14:textId="1682F217" w:rsidR="0067735E" w:rsidRDefault="00F65E06" w:rsidP="0003429B">
      <w:pPr>
        <w:pStyle w:val="NormalWeb"/>
        <w:jc w:val="both"/>
        <w:rPr>
          <w:rFonts w:ascii="Arial" w:hAnsi="Arial" w:cs="Arial"/>
        </w:rPr>
      </w:pPr>
      <w:r w:rsidRPr="00F65E06">
        <w:rPr>
          <w:rFonts w:ascii="Arial" w:hAnsi="Arial" w:cs="Arial"/>
        </w:rPr>
        <w:lastRenderedPageBreak/>
        <w:t xml:space="preserve">31. </w:t>
      </w:r>
      <w:r w:rsidR="0067735E" w:rsidRPr="00F65E06">
        <w:rPr>
          <w:rFonts w:ascii="Arial" w:hAnsi="Arial" w:cs="Arial"/>
        </w:rPr>
        <w:t>Lipska KJ, Warton EM, Huang ES, Moffet HH, Inzucchi SE, Krumholz HM, et al. HbA1c and risk of severe hypoglycemia in type 2 diabetes. Diabetes Care. 2013 Oct 15;36(11):3535-42. Disponível em: http://dx.doi.org/10.2337/dc13-0610</w:t>
      </w:r>
    </w:p>
    <w:p w14:paraId="16057BEB" w14:textId="2ED14125" w:rsidR="00F65E06" w:rsidRPr="00F65E06" w:rsidRDefault="0067735E" w:rsidP="0003429B">
      <w:pPr>
        <w:pStyle w:val="NormalWeb"/>
        <w:jc w:val="both"/>
        <w:rPr>
          <w:rFonts w:ascii="Arial" w:hAnsi="Arial" w:cs="Arial"/>
        </w:rPr>
      </w:pPr>
      <w:r>
        <w:rPr>
          <w:rFonts w:ascii="Arial" w:hAnsi="Arial" w:cs="Arial"/>
        </w:rPr>
        <w:t xml:space="preserve">32. </w:t>
      </w:r>
      <w:r w:rsidR="00F65E06" w:rsidRPr="00F65E06">
        <w:rPr>
          <w:rFonts w:ascii="Arial" w:hAnsi="Arial" w:cs="Arial"/>
        </w:rPr>
        <w:t>Neal B, Perkovic V, Mahaffey KW, de Zeeuw D, Fulcher G, Erondu N, et al. Canagliflozin and cardiovascular and renal events in type 2 diabetes. N Engl J Med. 2017 Aug 17;377(7):644-57. Disponível em: http://dx.doi.org/10.1056/nejmoa1611925</w:t>
      </w:r>
    </w:p>
    <w:p w14:paraId="2C6BE93A" w14:textId="69C5740D" w:rsidR="00F65E06" w:rsidRPr="00F65E06" w:rsidRDefault="00F65E06" w:rsidP="0003429B">
      <w:pPr>
        <w:pStyle w:val="NormalWeb"/>
        <w:jc w:val="both"/>
        <w:rPr>
          <w:rFonts w:ascii="Arial" w:hAnsi="Arial" w:cs="Arial"/>
        </w:rPr>
      </w:pPr>
      <w:r w:rsidRPr="00F65E06">
        <w:rPr>
          <w:rFonts w:ascii="Arial" w:hAnsi="Arial" w:cs="Arial"/>
        </w:rPr>
        <w:t>33. Horii T, et al. Real-world risk of hypoglycemia-related hospitalization in Japanese patients with type 2 diabetes using SGLT2 inhibitors: a nationwide cohort study. BMJ Open Diabetes Res Care. 2020;8(2):e001856.</w:t>
      </w:r>
    </w:p>
    <w:p w14:paraId="71FAC608" w14:textId="73B8EE5D" w:rsidR="00F65E06" w:rsidRPr="00F65E06" w:rsidRDefault="00F65E06" w:rsidP="0003429B">
      <w:pPr>
        <w:pStyle w:val="NormalWeb"/>
        <w:jc w:val="both"/>
        <w:rPr>
          <w:rFonts w:ascii="Arial" w:hAnsi="Arial" w:cs="Arial"/>
        </w:rPr>
      </w:pPr>
      <w:r w:rsidRPr="00F65E06">
        <w:rPr>
          <w:rFonts w:ascii="Arial" w:hAnsi="Arial" w:cs="Arial"/>
        </w:rPr>
        <w:t>34. Cowan A, Jeyakumar N, Kang Y, Dixon SN, Garg AX, Naylor K, et al. Fracture risk of sodium-glucose cotransporter-2 inhibitors in chronic kidney disease. Clin J Am Soc Nephrol. 2022 Jun;17(6):835-42. Disponível em: http://dx.doi.org/10.2215/cjn.16171221</w:t>
      </w:r>
    </w:p>
    <w:p w14:paraId="31D1A245" w14:textId="5701F608" w:rsidR="00F65E06" w:rsidRPr="00F65E06" w:rsidRDefault="00F65E06" w:rsidP="0003429B">
      <w:pPr>
        <w:pStyle w:val="NormalWeb"/>
        <w:jc w:val="both"/>
        <w:rPr>
          <w:rFonts w:ascii="Arial" w:hAnsi="Arial" w:cs="Arial"/>
        </w:rPr>
      </w:pPr>
      <w:r w:rsidRPr="00F65E06">
        <w:rPr>
          <w:rFonts w:ascii="Arial" w:hAnsi="Arial" w:cs="Arial"/>
        </w:rPr>
        <w:t>35. Zhuo M, Hawley CE, Paik JM, Bessette LG, Wexler DJ, Kim DH, et al. Association of sodium-glucose cotransporter-2 inhibitors with fracture risk in older adults with type 2 diabetes. JAMA Netw Open. 2021 Oct 27;4(10):e2130762. Disponível em: http://dx.doi.org/10.1001/jamanetworkopen.2021.30762</w:t>
      </w:r>
    </w:p>
    <w:p w14:paraId="26AFE767" w14:textId="01486C8C" w:rsidR="00F65E06" w:rsidRPr="00F65E06" w:rsidRDefault="00F65E06" w:rsidP="0003429B">
      <w:pPr>
        <w:pStyle w:val="NormalWeb"/>
        <w:jc w:val="both"/>
        <w:rPr>
          <w:rFonts w:ascii="Arial" w:hAnsi="Arial" w:cs="Arial"/>
        </w:rPr>
      </w:pPr>
      <w:r w:rsidRPr="00F65E06">
        <w:rPr>
          <w:rFonts w:ascii="Arial" w:hAnsi="Arial" w:cs="Arial"/>
        </w:rPr>
        <w:t>36. Ruanpeng D, Ungprasert P, Sangtian J, Harindhanavudhi T. Sodium-glucose cotransporter 2 (SGLT2) inhibitors and fracture risk in patients with type 2 diabetes mellitus: a meta-analysis. Diabetes Metab Res Rev. 2017 Jun;33(6):e2903. Disponível em: http://dx.doi.org/10.1002/dmrr.2903</w:t>
      </w:r>
    </w:p>
    <w:p w14:paraId="776B8580" w14:textId="5278EFF4" w:rsidR="00F65E06" w:rsidRPr="00F65E06" w:rsidRDefault="00F65E06" w:rsidP="0003429B">
      <w:pPr>
        <w:pStyle w:val="NormalWeb"/>
        <w:jc w:val="both"/>
        <w:rPr>
          <w:rFonts w:ascii="Arial" w:hAnsi="Arial" w:cs="Arial"/>
        </w:rPr>
      </w:pPr>
      <w:r w:rsidRPr="00F65E06">
        <w:rPr>
          <w:rFonts w:ascii="Arial" w:hAnsi="Arial" w:cs="Arial"/>
        </w:rPr>
        <w:t>37. Li N, et al. Effects of SGLT2 inhibitors on renal outcomes in patients with chronic kidney disease: a meta-analysis. Front Med. 2021;8:728089. Disponível em: http://dx.doi.org/10.3389/fmed.2021.728089</w:t>
      </w:r>
    </w:p>
    <w:p w14:paraId="6624723D" w14:textId="049A4D38" w:rsidR="00F65E06" w:rsidRPr="00F65E06" w:rsidRDefault="00F65E06" w:rsidP="0003429B">
      <w:pPr>
        <w:pStyle w:val="NormalWeb"/>
        <w:jc w:val="both"/>
        <w:rPr>
          <w:rFonts w:ascii="Arial" w:hAnsi="Arial" w:cs="Arial"/>
        </w:rPr>
      </w:pPr>
      <w:r w:rsidRPr="00F65E06">
        <w:rPr>
          <w:rFonts w:ascii="Arial" w:hAnsi="Arial" w:cs="Arial"/>
        </w:rPr>
        <w:t>38. Rong X, Li X, Gou Q, Liu K, Chen X. Risk of orthostatic hypotension associated with sodium-glucose cotransporter-2 inhibitor treatment: a meta-analysis of randomized controlled trials. Diabetes Vasc Dis Res. 2020 Sep;17(5):147916412095362. Disponível em: http://dx.doi.org/10.1177/1479164120953625</w:t>
      </w:r>
    </w:p>
    <w:p w14:paraId="6349E927" w14:textId="2E9119AA" w:rsidR="00F65E06" w:rsidRPr="00F65E06" w:rsidRDefault="00F65E06" w:rsidP="0003429B">
      <w:pPr>
        <w:pStyle w:val="NormalWeb"/>
        <w:jc w:val="both"/>
        <w:rPr>
          <w:rFonts w:ascii="Arial" w:hAnsi="Arial" w:cs="Arial"/>
        </w:rPr>
      </w:pPr>
      <w:r w:rsidRPr="00F65E06">
        <w:rPr>
          <w:rFonts w:ascii="Arial" w:hAnsi="Arial" w:cs="Arial"/>
        </w:rPr>
        <w:t>39. Böhm M, Anker SD, Butler J, Filippatos G, Ferreira JP, Pocock SJ, et al. Empagliflozin improves cardiovascular and renal outcomes in heart failure irrespective of systolic blood pressure. J Am Coll Cardiol. 2021 Sep 28;78(13):1337-48. Disponível em: http://dx.doi.org/10.1016/j.jacc.2021.07.049</w:t>
      </w:r>
    </w:p>
    <w:p w14:paraId="6638AAE4" w14:textId="20C4EB83" w:rsidR="00A400CE" w:rsidRPr="002F7E1E" w:rsidRDefault="00F65E06" w:rsidP="00470175">
      <w:pPr>
        <w:pStyle w:val="NormalWeb"/>
        <w:jc w:val="both"/>
        <w:rPr>
          <w:rFonts w:ascii="Arial" w:hAnsi="Arial" w:cs="Arial"/>
        </w:rPr>
      </w:pPr>
      <w:r w:rsidRPr="00F65E06">
        <w:rPr>
          <w:rFonts w:ascii="Arial" w:hAnsi="Arial" w:cs="Arial"/>
        </w:rPr>
        <w:t>40. Dave CV, Schneeweiss S, Kim D, Fralick M, Paterno E. Sodium-glucose cotransporter-2 inhibitors and urinary tract infections. Ann Intern Med. 2019 Dec 17;171(12):944-51. Disponível em: http://dx.doi.org/10.7326/l19-0671</w:t>
      </w:r>
      <w:r w:rsidR="00EB01B4" w:rsidRPr="00EB01B4">
        <w:rPr>
          <w:rFonts w:ascii="Arial" w:hAnsi="Arial" w:cs="Arial"/>
        </w:rPr>
        <w:t>4 Ministério da Saúde (Brasil). Portaria n. 930, de 27 de agosto de 1992. Expede normas pra o controle das infecções hospitalares. Brasília: Diário Oficial da União; 4 set 1992, Seção 1.</w:t>
      </w:r>
    </w:p>
    <w:sectPr w:rsidR="00A400CE" w:rsidRPr="002F7E1E" w:rsidSect="0086206B">
      <w:headerReference w:type="default" r:id="rId18"/>
      <w:footerReference w:type="default" r:id="rId19"/>
      <w:type w:val="continuous"/>
      <w:pgSz w:w="11906" w:h="16838" w:code="9"/>
      <w:pgMar w:top="1134" w:right="1134" w:bottom="1134" w:left="1134" w:header="709" w:footer="709"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8537F" w14:textId="77777777" w:rsidR="001150F6" w:rsidRDefault="001150F6" w:rsidP="009A09B2">
      <w:r>
        <w:separator/>
      </w:r>
    </w:p>
  </w:endnote>
  <w:endnote w:type="continuationSeparator" w:id="0">
    <w:p w14:paraId="657E18B2" w14:textId="77777777" w:rsidR="001150F6" w:rsidRDefault="001150F6" w:rsidP="009A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3 LT Std">
    <w:altName w:val="Cambria"/>
    <w:panose1 w:val="00000000000000000000"/>
    <w:charset w:val="00"/>
    <w:family w:val="roman"/>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Omni">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A6503" w14:textId="77777777" w:rsidR="007B5DA6" w:rsidRDefault="007B5DA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color w:val="FFFFFF" w:themeColor="background1"/>
        <w:sz w:val="10"/>
      </w:rPr>
      <w:id w:val="-1242104861"/>
      <w:docPartObj>
        <w:docPartGallery w:val="Page Numbers (Bottom of Page)"/>
        <w:docPartUnique/>
      </w:docPartObj>
    </w:sdtPr>
    <w:sdtContent>
      <w:p w14:paraId="7D602853" w14:textId="538C8703" w:rsidR="00734797" w:rsidRPr="00CA7157" w:rsidRDefault="002E36DB" w:rsidP="000843B7">
        <w:pPr>
          <w:pStyle w:val="Rodap"/>
          <w:tabs>
            <w:tab w:val="clear" w:pos="4252"/>
            <w:tab w:val="clear" w:pos="8504"/>
            <w:tab w:val="left" w:pos="1345"/>
          </w:tabs>
          <w:rPr>
            <w:rFonts w:ascii="Arial" w:hAnsi="Arial" w:cs="Arial"/>
            <w:b/>
            <w:color w:val="FFFFFF" w:themeColor="background1"/>
            <w:sz w:val="10"/>
          </w:rPr>
        </w:pPr>
        <w:r>
          <w:rPr>
            <w:rFonts w:ascii="Arial" w:hAnsi="Arial" w:cs="Arial"/>
            <w:b/>
            <w:noProof/>
            <w:color w:val="FFFFFF" w:themeColor="background1"/>
            <w:sz w:val="10"/>
          </w:rPr>
          <mc:AlternateContent>
            <mc:Choice Requires="wpg">
              <w:drawing>
                <wp:anchor distT="0" distB="0" distL="114300" distR="114300" simplePos="0" relativeHeight="251664384" behindDoc="0" locked="0" layoutInCell="1" allowOverlap="1" wp14:anchorId="50ACBC39" wp14:editId="2A211E1A">
                  <wp:simplePos x="0" y="0"/>
                  <wp:positionH relativeFrom="rightMargin">
                    <wp:align>center</wp:align>
                  </wp:positionH>
                  <wp:positionV relativeFrom="bottomMargin">
                    <wp:align>center</wp:align>
                  </wp:positionV>
                  <wp:extent cx="474980" cy="438150"/>
                  <wp:effectExtent l="0" t="0" r="0" b="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38150"/>
                            <a:chOff x="726" y="14496"/>
                            <a:chExt cx="659" cy="690"/>
                          </a:xfrm>
                        </wpg:grpSpPr>
                        <wps:wsp>
                          <wps:cNvPr id="13"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5"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6" name="Text Box 55"/>
                          <wps:cNvSpPr txBox="1">
                            <a:spLocks noChangeArrowheads="1"/>
                          </wps:cNvSpPr>
                          <wps:spPr bwMode="auto">
                            <a:xfrm>
                              <a:off x="726" y="14496"/>
                              <a:ext cx="659" cy="69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54352" w14:textId="77777777" w:rsidR="00734797" w:rsidRPr="00C53EEB" w:rsidRDefault="00960905" w:rsidP="00853110">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00734797" w:rsidRPr="00C53EEB">
                                  <w:rPr>
                                    <w:rFonts w:ascii="Arial" w:hAnsi="Arial" w:cs="Arial"/>
                                    <w:b/>
                                  </w:rPr>
                                  <w:instrText>PAGE    \* MERGEFORMAT</w:instrText>
                                </w:r>
                                <w:r w:rsidRPr="00C53EEB">
                                  <w:rPr>
                                    <w:rFonts w:ascii="Arial" w:hAnsi="Arial" w:cs="Arial"/>
                                    <w:b/>
                                    <w:sz w:val="22"/>
                                    <w:szCs w:val="22"/>
                                  </w:rPr>
                                  <w:fldChar w:fldCharType="separate"/>
                                </w:r>
                                <w:r w:rsidR="004C49B4" w:rsidRPr="004C49B4">
                                  <w:rPr>
                                    <w:rFonts w:ascii="Arial" w:hAnsi="Arial" w:cs="Arial"/>
                                    <w:b/>
                                    <w:bCs/>
                                    <w:iCs/>
                                    <w:noProof/>
                                    <w:color w:val="FFFFFF" w:themeColor="background1"/>
                                    <w:sz w:val="36"/>
                                    <w:szCs w:val="36"/>
                                  </w:rPr>
                                  <w:t>1</w:t>
                                </w:r>
                                <w:r w:rsidRPr="00C53EEB">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CBC39" id="Group 5" o:spid="_x0000_s1030" style="position:absolute;margin-left:0;margin-top:0;width:37.4pt;height:34.5pt;z-index:251664384;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">
                  <v:rect id="Rectangle 53" o:spid="_x0000_s1031"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" fillcolor="#943634" strokecolor="#943634"/>
                  <v:rect id="Rectangle 54" o:spid="_x0000_s1032"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" fillcolor="#943634" strokecolor="#943634"/>
                  <v:shapetype id="_x0000_t202" coordsize="21600,21600" o:spt="202" path="m,l,21600r21600,l21600,xe">
                    <v:stroke joinstyle="miter"/>
                    <v:path gradientshapeok="t" o:connecttype="rect"/>
                  </v:shapetype>
                  <v:shape id="Text Box 55" o:spid="_x0000_s1033" type="#_x0000_t202" style="position:absolute;left:726;top:14496;width:659;height: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" fillcolor="#17365d [2415]" stroked="f">
                    <v:textbox inset="4.32pt,0,4.32pt,0">
                      <w:txbxContent>
                        <w:p w14:paraId="4FC54352" w14:textId="77777777" w:rsidR="00734797" w:rsidRPr="00C53EEB" w:rsidRDefault="00960905" w:rsidP="00853110">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00734797" w:rsidRPr="00C53EEB">
                            <w:rPr>
                              <w:rFonts w:ascii="Arial" w:hAnsi="Arial" w:cs="Arial"/>
                              <w:b/>
                            </w:rPr>
                            <w:instrText>PAGE    \* MERGEFORMAT</w:instrText>
                          </w:r>
                          <w:r w:rsidRPr="00C53EEB">
                            <w:rPr>
                              <w:rFonts w:ascii="Arial" w:hAnsi="Arial" w:cs="Arial"/>
                              <w:b/>
                              <w:sz w:val="22"/>
                              <w:szCs w:val="22"/>
                            </w:rPr>
                            <w:fldChar w:fldCharType="separate"/>
                          </w:r>
                          <w:r w:rsidR="004C49B4" w:rsidRPr="004C49B4">
                            <w:rPr>
                              <w:rFonts w:ascii="Arial" w:hAnsi="Arial" w:cs="Arial"/>
                              <w:b/>
                              <w:bCs/>
                              <w:iCs/>
                              <w:noProof/>
                              <w:color w:val="FFFFFF" w:themeColor="background1"/>
                              <w:sz w:val="36"/>
                              <w:szCs w:val="36"/>
                            </w:rPr>
                            <w:t>1</w:t>
                          </w:r>
                          <w:r w:rsidRPr="00C53EEB">
                            <w:rPr>
                              <w:rFonts w:ascii="Arial" w:hAnsi="Arial" w:cs="Arial"/>
                              <w:b/>
                              <w:bCs/>
                              <w:iCs/>
                              <w:color w:val="FFFFFF" w:themeColor="background1"/>
                              <w:sz w:val="36"/>
                              <w:szCs w:val="36"/>
                            </w:rPr>
                            <w:fldChar w:fldCharType="end"/>
                          </w:r>
                        </w:p>
                      </w:txbxContent>
                    </v:textbox>
                  </v:shape>
                  <w10:wrap anchorx="margin"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4921F" w14:textId="77777777" w:rsidR="007B5DA6" w:rsidRDefault="007B5DA6">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323350"/>
      <w:docPartObj>
        <w:docPartGallery w:val="Page Numbers (Bottom of Page)"/>
        <w:docPartUnique/>
      </w:docPartObj>
    </w:sdtPr>
    <w:sdtContent>
      <w:p w14:paraId="02D2A3AD" w14:textId="31195E7D" w:rsidR="00734797" w:rsidRPr="00E162FF" w:rsidRDefault="002E36DB" w:rsidP="00345342">
        <w:pPr>
          <w:pStyle w:val="Rodap"/>
        </w:pPr>
        <w:r>
          <w:rPr>
            <w:noProof/>
          </w:rPr>
          <mc:AlternateContent>
            <mc:Choice Requires="wpg">
              <w:drawing>
                <wp:anchor distT="0" distB="0" distL="114300" distR="114300" simplePos="0" relativeHeight="251668480" behindDoc="0" locked="0" layoutInCell="1" allowOverlap="1" wp14:anchorId="0DBDA66F" wp14:editId="08E4157F">
                  <wp:simplePos x="0" y="0"/>
                  <wp:positionH relativeFrom="rightMargin">
                    <wp:align>center</wp:align>
                  </wp:positionH>
                  <wp:positionV relativeFrom="bottomMargin">
                    <wp:align>center</wp:align>
                  </wp:positionV>
                  <wp:extent cx="494030" cy="438150"/>
                  <wp:effectExtent l="0" t="0" r="0" b="0"/>
                  <wp:wrapNone/>
                  <wp:docPr id="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438150"/>
                            <a:chOff x="726" y="14496"/>
                            <a:chExt cx="659" cy="690"/>
                          </a:xfrm>
                        </wpg:grpSpPr>
                        <wps:wsp>
                          <wps:cNvPr id="5" name="Rectangle 53"/>
                          <wps:cNvSpPr>
                            <a:spLocks noChangeArrowheads="1"/>
                          </wps:cNvSpPr>
                          <wps:spPr bwMode="auto">
                            <a:xfrm>
                              <a:off x="831" y="14552"/>
                              <a:ext cx="512" cy="526"/>
                            </a:xfrm>
                            <a:prstGeom prst="rect">
                              <a:avLst/>
                            </a:prstGeom>
                            <a:solidFill>
                              <a:schemeClr val="tx2">
                                <a:lumMod val="75000"/>
                                <a:lumOff val="0"/>
                              </a:schemeClr>
                            </a:solidFill>
                            <a:ln w="9525">
                              <a:solidFill>
                                <a:srgbClr val="943634"/>
                              </a:solidFill>
                              <a:miter lim="800000"/>
                              <a:headEnd/>
                              <a:tailEnd/>
                            </a:ln>
                          </wps:spPr>
                          <wps:bodyPr rot="0" vert="horz" wrap="square" lIns="91440" tIns="45720" rIns="91440" bIns="45720" anchor="t" anchorCtr="0" upright="1">
                            <a:noAutofit/>
                          </wps:bodyPr>
                        </wps:wsp>
                        <wps:wsp>
                          <wps:cNvPr id="6" name="Rectangle 54"/>
                          <wps:cNvSpPr>
                            <a:spLocks noChangeArrowheads="1"/>
                          </wps:cNvSpPr>
                          <wps:spPr bwMode="auto">
                            <a:xfrm>
                              <a:off x="831" y="15117"/>
                              <a:ext cx="512" cy="43"/>
                            </a:xfrm>
                            <a:prstGeom prst="rect">
                              <a:avLst/>
                            </a:prstGeom>
                            <a:solidFill>
                              <a:schemeClr val="tx2">
                                <a:lumMod val="75000"/>
                                <a:lumOff val="0"/>
                              </a:schemeClr>
                            </a:solidFill>
                            <a:ln w="9525">
                              <a:solidFill>
                                <a:srgbClr val="943634"/>
                              </a:solidFill>
                              <a:miter lim="800000"/>
                              <a:headEnd/>
                              <a:tailEnd/>
                            </a:ln>
                          </wps:spPr>
                          <wps:bodyPr rot="0" vert="horz" wrap="square" lIns="91440" tIns="45720" rIns="91440" bIns="45720" anchor="t" anchorCtr="0" upright="1">
                            <a:noAutofit/>
                          </wps:bodyPr>
                        </wps:wsp>
                        <wps:wsp>
                          <wps:cNvPr id="7" name="Text Box 55"/>
                          <wps:cNvSpPr txBox="1">
                            <a:spLocks noChangeArrowheads="1"/>
                          </wps:cNvSpPr>
                          <wps:spPr bwMode="auto">
                            <a:xfrm>
                              <a:off x="726" y="14496"/>
                              <a:ext cx="659" cy="69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C26246" w14:textId="77777777" w:rsidR="00734797" w:rsidRPr="00310B38" w:rsidRDefault="00960905" w:rsidP="00853110">
                                <w:pPr>
                                  <w:pStyle w:val="Rodap"/>
                                  <w:jc w:val="center"/>
                                  <w:rPr>
                                    <w:rFonts w:ascii="Arial" w:hAnsi="Arial" w:cs="Arial"/>
                                    <w:b/>
                                    <w:bCs/>
                                    <w:iCs/>
                                    <w:color w:val="FFFFFF" w:themeColor="background1"/>
                                    <w:sz w:val="36"/>
                                    <w:szCs w:val="36"/>
                                  </w:rPr>
                                </w:pPr>
                                <w:r w:rsidRPr="00310B38">
                                  <w:rPr>
                                    <w:rFonts w:ascii="Arial" w:hAnsi="Arial" w:cs="Arial"/>
                                    <w:b/>
                                    <w:sz w:val="22"/>
                                    <w:szCs w:val="22"/>
                                  </w:rPr>
                                  <w:fldChar w:fldCharType="begin"/>
                                </w:r>
                                <w:r w:rsidR="00734797" w:rsidRPr="00310B38">
                                  <w:rPr>
                                    <w:rFonts w:ascii="Arial" w:hAnsi="Arial" w:cs="Arial"/>
                                    <w:b/>
                                  </w:rPr>
                                  <w:instrText>PAGE    \* MERGEFORMAT</w:instrText>
                                </w:r>
                                <w:r w:rsidRPr="00310B38">
                                  <w:rPr>
                                    <w:rFonts w:ascii="Arial" w:hAnsi="Arial" w:cs="Arial"/>
                                    <w:b/>
                                    <w:sz w:val="22"/>
                                    <w:szCs w:val="22"/>
                                  </w:rPr>
                                  <w:fldChar w:fldCharType="separate"/>
                                </w:r>
                                <w:r w:rsidR="004C49B4" w:rsidRPr="004C49B4">
                                  <w:rPr>
                                    <w:rFonts w:ascii="Arial" w:hAnsi="Arial" w:cs="Arial"/>
                                    <w:b/>
                                    <w:bCs/>
                                    <w:iCs/>
                                    <w:noProof/>
                                    <w:color w:val="FFFFFF" w:themeColor="background1"/>
                                    <w:sz w:val="36"/>
                                    <w:szCs w:val="36"/>
                                  </w:rPr>
                                  <w:t>6</w:t>
                                </w:r>
                                <w:r w:rsidRPr="00310B38">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BDA66F" id="Group 16" o:spid="_x0000_s1034" style="position:absolute;margin-left:0;margin-top:0;width:38.9pt;height:34.5pt;z-index:251668480;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">
                  <v:rect id="Rectangle 53" o:spid="_x0000_s1035"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" fillcolor="#17365d [2415]" strokecolor="#943634"/>
                  <v:rect id="Rectangle 54" o:spid="_x0000_s1036"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" fillcolor="#17365d [2415]" strokecolor="#943634"/>
                  <v:shapetype id="_x0000_t202" coordsize="21600,21600" o:spt="202" path="m,l,21600r21600,l21600,xe">
                    <v:stroke joinstyle="miter"/>
                    <v:path gradientshapeok="t" o:connecttype="rect"/>
                  </v:shapetype>
                  <v:shape id="Text Box 55" o:spid="_x0000_s1037" type="#_x0000_t202" style="position:absolute;left:726;top:14496;width:659;height: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" fillcolor="#17365d [2415]" stroked="f">
                    <v:textbox inset="4.32pt,0,4.32pt,0">
                      <w:txbxContent>
                        <w:p w14:paraId="72C26246" w14:textId="77777777" w:rsidR="00734797" w:rsidRPr="00310B38" w:rsidRDefault="00960905" w:rsidP="00853110">
                          <w:pPr>
                            <w:pStyle w:val="Rodap"/>
                            <w:jc w:val="center"/>
                            <w:rPr>
                              <w:rFonts w:ascii="Arial" w:hAnsi="Arial" w:cs="Arial"/>
                              <w:b/>
                              <w:bCs/>
                              <w:iCs/>
                              <w:color w:val="FFFFFF" w:themeColor="background1"/>
                              <w:sz w:val="36"/>
                              <w:szCs w:val="36"/>
                            </w:rPr>
                          </w:pPr>
                          <w:r w:rsidRPr="00310B38">
                            <w:rPr>
                              <w:rFonts w:ascii="Arial" w:hAnsi="Arial" w:cs="Arial"/>
                              <w:b/>
                              <w:sz w:val="22"/>
                              <w:szCs w:val="22"/>
                            </w:rPr>
                            <w:fldChar w:fldCharType="begin"/>
                          </w:r>
                          <w:r w:rsidR="00734797" w:rsidRPr="00310B38">
                            <w:rPr>
                              <w:rFonts w:ascii="Arial" w:hAnsi="Arial" w:cs="Arial"/>
                              <w:b/>
                            </w:rPr>
                            <w:instrText>PAGE    \* MERGEFORMAT</w:instrText>
                          </w:r>
                          <w:r w:rsidRPr="00310B38">
                            <w:rPr>
                              <w:rFonts w:ascii="Arial" w:hAnsi="Arial" w:cs="Arial"/>
                              <w:b/>
                              <w:sz w:val="22"/>
                              <w:szCs w:val="22"/>
                            </w:rPr>
                            <w:fldChar w:fldCharType="separate"/>
                          </w:r>
                          <w:r w:rsidR="004C49B4" w:rsidRPr="004C49B4">
                            <w:rPr>
                              <w:rFonts w:ascii="Arial" w:hAnsi="Arial" w:cs="Arial"/>
                              <w:b/>
                              <w:bCs/>
                              <w:iCs/>
                              <w:noProof/>
                              <w:color w:val="FFFFFF" w:themeColor="background1"/>
                              <w:sz w:val="36"/>
                              <w:szCs w:val="36"/>
                            </w:rPr>
                            <w:t>6</w:t>
                          </w:r>
                          <w:r w:rsidRPr="00310B38">
                            <w:rPr>
                              <w:rFonts w:ascii="Arial" w:hAnsi="Arial" w:cs="Arial"/>
                              <w:b/>
                              <w:bCs/>
                              <w:iCs/>
                              <w:color w:val="FFFFFF" w:themeColor="background1"/>
                              <w:sz w:val="36"/>
                              <w:szCs w:val="36"/>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F627B" w14:textId="77777777" w:rsidR="001150F6" w:rsidRDefault="001150F6" w:rsidP="009A09B2">
      <w:r>
        <w:separator/>
      </w:r>
    </w:p>
  </w:footnote>
  <w:footnote w:type="continuationSeparator" w:id="0">
    <w:p w14:paraId="2B260AB3" w14:textId="77777777" w:rsidR="001150F6" w:rsidRDefault="001150F6" w:rsidP="009A0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B780" w14:textId="77777777" w:rsidR="007B5DA6" w:rsidRDefault="007B5DA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EB32" w14:textId="39326B0B" w:rsidR="002F3981" w:rsidRDefault="00C64624" w:rsidP="002F3981">
    <w:pPr>
      <w:pStyle w:val="Cabealho"/>
      <w:jc w:val="right"/>
      <w:rPr>
        <w:color w:val="4F81BD" w:themeColor="accent1"/>
      </w:rPr>
    </w:pPr>
    <w:r>
      <w:rPr>
        <w:noProof/>
      </w:rPr>
      <mc:AlternateContent>
        <mc:Choice Requires="wps">
          <w:drawing>
            <wp:anchor distT="0" distB="0" distL="114300" distR="114300" simplePos="0" relativeHeight="251671552" behindDoc="0" locked="0" layoutInCell="1" allowOverlap="1" wp14:anchorId="0451C986" wp14:editId="34ADD46F">
              <wp:simplePos x="0" y="0"/>
              <wp:positionH relativeFrom="column">
                <wp:posOffset>-129540</wp:posOffset>
              </wp:positionH>
              <wp:positionV relativeFrom="paragraph">
                <wp:posOffset>-241935</wp:posOffset>
              </wp:positionV>
              <wp:extent cx="3098800" cy="308610"/>
              <wp:effectExtent l="0" t="0" r="25400" b="15240"/>
              <wp:wrapNone/>
              <wp:docPr id="17" name="Arredondar Retângulo em um Canto Únic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8800" cy="308610"/>
                      </a:xfrm>
                      <a:custGeom>
                        <a:avLst/>
                        <a:gdLst>
                          <a:gd name="T0" fmla="*/ 0 w 3348842"/>
                          <a:gd name="T1" fmla="*/ 0 h 308758"/>
                          <a:gd name="T2" fmla="*/ 3297381 w 3348842"/>
                          <a:gd name="T3" fmla="*/ 0 h 308758"/>
                          <a:gd name="T4" fmla="*/ 3348842 w 3348842"/>
                          <a:gd name="T5" fmla="*/ 51461 h 308758"/>
                          <a:gd name="T6" fmla="*/ 3348842 w 3348842"/>
                          <a:gd name="T7" fmla="*/ 308758 h 308758"/>
                          <a:gd name="T8" fmla="*/ 0 w 3348842"/>
                          <a:gd name="T9" fmla="*/ 308758 h 308758"/>
                          <a:gd name="T10" fmla="*/ 0 w 3348842"/>
                          <a:gd name="T11" fmla="*/ 0 h 308758"/>
                          <a:gd name="T12" fmla="*/ 0 60000 65536"/>
                          <a:gd name="T13" fmla="*/ 0 60000 65536"/>
                          <a:gd name="T14" fmla="*/ 0 60000 65536"/>
                          <a:gd name="T15" fmla="*/ 0 60000 65536"/>
                          <a:gd name="T16" fmla="*/ 0 60000 65536"/>
                          <a:gd name="T17" fmla="*/ 0 60000 65536"/>
                          <a:gd name="T18" fmla="*/ 0 w 3348842"/>
                          <a:gd name="T19" fmla="*/ 0 h 308758"/>
                          <a:gd name="T20" fmla="*/ 3348842 w 3348842"/>
                          <a:gd name="T21" fmla="*/ 308758 h 308758"/>
                        </a:gdLst>
                        <a:ahLst/>
                        <a:cxnLst>
                          <a:cxn ang="T12">
                            <a:pos x="T0" y="T1"/>
                          </a:cxn>
                          <a:cxn ang="T13">
                            <a:pos x="T2" y="T3"/>
                          </a:cxn>
                          <a:cxn ang="T14">
                            <a:pos x="T4" y="T5"/>
                          </a:cxn>
                          <a:cxn ang="T15">
                            <a:pos x="T6" y="T7"/>
                          </a:cxn>
                          <a:cxn ang="T16">
                            <a:pos x="T8" y="T9"/>
                          </a:cxn>
                          <a:cxn ang="T17">
                            <a:pos x="T10" y="T11"/>
                          </a:cxn>
                        </a:cxnLst>
                        <a:rect l="T18" t="T19" r="T20" b="T21"/>
                        <a:pathLst>
                          <a:path w="3348842" h="308758">
                            <a:moveTo>
                              <a:pt x="0" y="0"/>
                            </a:moveTo>
                            <a:lnTo>
                              <a:pt x="3297381" y="0"/>
                            </a:lnTo>
                            <a:cubicBezTo>
                              <a:pt x="3325802" y="0"/>
                              <a:pt x="3348842" y="23040"/>
                              <a:pt x="3348842" y="51461"/>
                            </a:cubicBezTo>
                            <a:lnTo>
                              <a:pt x="3348842" y="308758"/>
                            </a:lnTo>
                            <a:lnTo>
                              <a:pt x="0" y="308758"/>
                            </a:lnTo>
                            <a:lnTo>
                              <a:pt x="0" y="0"/>
                            </a:lnTo>
                            <a:close/>
                          </a:path>
                        </a:pathLst>
                      </a:custGeom>
                      <a:solidFill>
                        <a:schemeClr val="tx2">
                          <a:lumMod val="20000"/>
                          <a:lumOff val="80000"/>
                        </a:schemeClr>
                      </a:solidFill>
                      <a:ln w="25400">
                        <a:solidFill>
                          <a:schemeClr val="tx2">
                            <a:lumMod val="50000"/>
                            <a:lumOff val="0"/>
                          </a:schemeClr>
                        </a:solidFill>
                        <a:miter lim="800000"/>
                        <a:headEnd/>
                        <a:tailEnd/>
                      </a:ln>
                    </wps:spPr>
                    <wps:txbx>
                      <w:txbxContent>
                        <w:p w14:paraId="6AB4C17A" w14:textId="18D8D8E5" w:rsidR="002F3981" w:rsidRPr="00734FFA" w:rsidRDefault="00C64624" w:rsidP="002F3981">
                          <w:pPr>
                            <w:jc w:val="center"/>
                            <w:rPr>
                              <w:rFonts w:ascii="Arial" w:hAnsi="Arial" w:cs="Arial"/>
                              <w:b/>
                              <w:color w:val="0F243E" w:themeColor="text2" w:themeShade="80"/>
                              <w:sz w:val="16"/>
                              <w:szCs w:val="16"/>
                            </w:rPr>
                          </w:pPr>
                          <w:r w:rsidRPr="00C64624">
                            <w:rPr>
                              <w:rFonts w:ascii="Arial" w:hAnsi="Arial" w:cs="Arial"/>
                              <w:b/>
                              <w:color w:val="0F243E" w:themeColor="text2" w:themeShade="80"/>
                              <w:sz w:val="16"/>
                              <w:szCs w:val="16"/>
                            </w:rPr>
                            <w:t>10.18606/2318-1419/amazonia.sci.health.v14n1p182-197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51C986" id="Arredondar Retângulo em um Canto Único 5" o:spid="_x0000_s1028" style="position:absolute;left:0;text-align:left;margin-left:-10.2pt;margin-top:-19.05pt;width:244pt;height:2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348842,30875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" adj="-11796480,,5400" path="m,l3297381,v28421,,51461,23040,51461,51461l3348842,308758,,308758,,xe" fillcolor="#c6d9f1 [671]" strokecolor="#0f243e [1615]" strokeweight="2pt">
              <v:stroke joinstyle="miter"/>
              <v:formulas/>
              <v:path arrowok="t" o:connecttype="custom" o:connectlocs="0,0;3051181,0;3098800,51436;3098800,308610;0,308610;0,0" o:connectangles="0,0,0,0,0,0" textboxrect="0,0,3348842,308758"/>
              <v:textbox>
                <w:txbxContent>
                  <w:p w14:paraId="6AB4C17A" w14:textId="18D8D8E5" w:rsidR="002F3981" w:rsidRPr="00734FFA" w:rsidRDefault="00C64624" w:rsidP="002F3981">
                    <w:pPr>
                      <w:jc w:val="center"/>
                      <w:rPr>
                        <w:rFonts w:ascii="Arial" w:hAnsi="Arial" w:cs="Arial"/>
                        <w:b/>
                        <w:color w:val="0F243E" w:themeColor="text2" w:themeShade="80"/>
                        <w:sz w:val="16"/>
                        <w:szCs w:val="16"/>
                      </w:rPr>
                    </w:pPr>
                    <w:r w:rsidRPr="00C64624">
                      <w:rPr>
                        <w:rFonts w:ascii="Arial" w:hAnsi="Arial" w:cs="Arial"/>
                        <w:b/>
                        <w:color w:val="0F243E" w:themeColor="text2" w:themeShade="80"/>
                        <w:sz w:val="16"/>
                        <w:szCs w:val="16"/>
                      </w:rPr>
                      <w:t>10.18606/2318-1419/amazonia.sci.health.v14n1p182-197</w:t>
                    </w:r>
                  </w:p>
                </w:txbxContent>
              </v:textbox>
            </v:shape>
          </w:pict>
        </mc:Fallback>
      </mc:AlternateContent>
    </w:r>
    <w:r w:rsidR="002E36DB">
      <w:rPr>
        <w:noProof/>
      </w:rPr>
      <mc:AlternateContent>
        <mc:Choice Requires="wps">
          <w:drawing>
            <wp:anchor distT="0" distB="0" distL="114300" distR="114300" simplePos="0" relativeHeight="251670528" behindDoc="0" locked="0" layoutInCell="1" allowOverlap="1" wp14:anchorId="41A57A4E" wp14:editId="5EE17AA5">
              <wp:simplePos x="0" y="0"/>
              <wp:positionH relativeFrom="column">
                <wp:posOffset>-91440</wp:posOffset>
              </wp:positionH>
              <wp:positionV relativeFrom="paragraph">
                <wp:posOffset>-102235</wp:posOffset>
              </wp:positionV>
              <wp:extent cx="4552950" cy="546735"/>
              <wp:effectExtent l="0" t="0" r="0" b="5715"/>
              <wp:wrapNone/>
              <wp:docPr id="4" name="Retângulo de cantos arredondado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546735"/>
                      </a:xfrm>
                      <a:prstGeom prst="roundRect">
                        <a:avLst>
                          <a:gd name="adj" fmla="val 16667"/>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2F50BF34" w14:textId="77777777" w:rsidR="002F3981" w:rsidRPr="005E65C4" w:rsidRDefault="002F3981" w:rsidP="002F3981">
                          <w:pPr>
                            <w:jc w:val="right"/>
                            <w:rPr>
                              <w:rFonts w:ascii="Arial" w:hAnsi="Arial" w:cs="Arial"/>
                              <w:b/>
                              <w:color w:val="FFFFFF" w:themeColor="background1"/>
                            </w:rPr>
                          </w:pPr>
                          <w:r w:rsidRPr="005E65C4">
                            <w:rPr>
                              <w:rFonts w:ascii="Arial" w:hAnsi="Arial" w:cs="Arial"/>
                              <w:b/>
                              <w:color w:val="FFFFFF" w:themeColor="background1"/>
                            </w:rPr>
                            <w:t>ARTIGO</w:t>
                          </w:r>
                        </w:p>
                        <w:p w14:paraId="47C3F2C0" w14:textId="77777777" w:rsidR="002F3981" w:rsidRPr="00677FEC" w:rsidRDefault="002F3981" w:rsidP="002F3981">
                          <w:pPr>
                            <w:rPr>
                              <w:rFonts w:ascii="Arial" w:hAnsi="Arial" w:cs="Arial"/>
                              <w:b/>
                              <w:color w:val="FFFFFF" w:themeColor="background1"/>
                              <w:sz w:val="14"/>
                            </w:rPr>
                          </w:pPr>
                          <w:r w:rsidRPr="00677FEC">
                            <w:rPr>
                              <w:rFonts w:ascii="Arial" w:hAnsi="Arial" w:cs="Arial"/>
                              <w:b/>
                              <w:color w:val="FFFFFF" w:themeColor="background1"/>
                              <w:sz w:val="14"/>
                            </w:rPr>
                            <w:t>&lt;&lt;. &gt;&gt;</w:t>
                          </w:r>
                        </w:p>
                        <w:p w14:paraId="434486D1" w14:textId="77777777" w:rsidR="002F3981" w:rsidRPr="009A4DEE" w:rsidRDefault="002F3981" w:rsidP="002F3981">
                          <w:pPr>
                            <w:jc w:val="right"/>
                            <w:rPr>
                              <w:rFonts w:ascii="Arial" w:hAnsi="Arial" w:cs="Arial"/>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1A57A4E" id="Retângulo de cantos arredondados 4" o:spid="_x0000_s1029" style="position:absolute;left:0;text-align:left;margin-left:-7.2pt;margin-top:-8.05pt;width:358.5pt;height:4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" fillcolor="#4f81bd [3204]" stroked="f" strokeweight="2pt">
              <v:textbox>
                <w:txbxContent>
                  <w:p w14:paraId="2F50BF34" w14:textId="77777777" w:rsidR="002F3981" w:rsidRPr="005E65C4" w:rsidRDefault="002F3981" w:rsidP="002F3981">
                    <w:pPr>
                      <w:jc w:val="right"/>
                      <w:rPr>
                        <w:rFonts w:ascii="Arial" w:hAnsi="Arial" w:cs="Arial"/>
                        <w:b/>
                        <w:color w:val="FFFFFF" w:themeColor="background1"/>
                      </w:rPr>
                    </w:pPr>
                    <w:r w:rsidRPr="005E65C4">
                      <w:rPr>
                        <w:rFonts w:ascii="Arial" w:hAnsi="Arial" w:cs="Arial"/>
                        <w:b/>
                        <w:color w:val="FFFFFF" w:themeColor="background1"/>
                      </w:rPr>
                      <w:t>ARTIGO</w:t>
                    </w:r>
                  </w:p>
                  <w:p w14:paraId="47C3F2C0" w14:textId="77777777" w:rsidR="002F3981" w:rsidRPr="00677FEC" w:rsidRDefault="002F3981" w:rsidP="002F3981">
                    <w:pPr>
                      <w:rPr>
                        <w:rFonts w:ascii="Arial" w:hAnsi="Arial" w:cs="Arial"/>
                        <w:b/>
                        <w:color w:val="FFFFFF" w:themeColor="background1"/>
                        <w:sz w:val="14"/>
                      </w:rPr>
                    </w:pPr>
                    <w:r w:rsidRPr="00677FEC">
                      <w:rPr>
                        <w:rFonts w:ascii="Arial" w:hAnsi="Arial" w:cs="Arial"/>
                        <w:b/>
                        <w:color w:val="FFFFFF" w:themeColor="background1"/>
                        <w:sz w:val="14"/>
                      </w:rPr>
                      <w:t>&lt;&lt;. &gt;&gt;</w:t>
                    </w:r>
                  </w:p>
                  <w:p w14:paraId="434486D1" w14:textId="77777777" w:rsidR="002F3981" w:rsidRPr="009A4DEE" w:rsidRDefault="002F3981" w:rsidP="002F3981">
                    <w:pPr>
                      <w:jc w:val="right"/>
                      <w:rPr>
                        <w:rFonts w:ascii="Arial" w:hAnsi="Arial" w:cs="Arial"/>
                        <w:b/>
                      </w:rPr>
                    </w:pPr>
                  </w:p>
                </w:txbxContent>
              </v:textbox>
            </v:roundrect>
          </w:pict>
        </mc:Fallback>
      </mc:AlternateContent>
    </w:r>
  </w:p>
  <w:p w14:paraId="1168918B" w14:textId="62796B4E" w:rsidR="00734797" w:rsidRPr="00C33545" w:rsidRDefault="00734797" w:rsidP="00D7386A">
    <w:pPr>
      <w:pStyle w:val="Cabealho"/>
      <w:shd w:val="clear" w:color="auto" w:fill="FFFFFF" w:themeFill="background1"/>
      <w:rPr>
        <w:color w:val="FFFFFF" w:themeColor="background1"/>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8771" w14:textId="77777777" w:rsidR="007B5DA6" w:rsidRDefault="007B5DA6">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956" w:type="dxa"/>
      <w:tblInd w:w="108" w:type="dxa"/>
      <w:tblBorders>
        <w:top w:val="none" w:sz="0" w:space="0" w:color="auto"/>
        <w:left w:val="none" w:sz="0" w:space="0" w:color="auto"/>
        <w:bottom w:val="single" w:sz="18"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4570"/>
      <w:gridCol w:w="5386"/>
    </w:tblGrid>
    <w:tr w:rsidR="00A22507" w:rsidRPr="00677FEC" w14:paraId="4AC5FD87" w14:textId="77777777" w:rsidTr="00C64624">
      <w:trPr>
        <w:trHeight w:val="716"/>
      </w:trPr>
      <w:tc>
        <w:tcPr>
          <w:tcW w:w="4570" w:type="dxa"/>
        </w:tcPr>
        <w:p w14:paraId="7EF158F5" w14:textId="25B07A3B" w:rsidR="00A22507" w:rsidRPr="00651574" w:rsidRDefault="00A22507" w:rsidP="00C64624">
          <w:pPr>
            <w:pStyle w:val="Cabealho"/>
            <w:ind w:left="-78" w:right="-145"/>
            <w:jc w:val="both"/>
            <w:rPr>
              <w:rFonts w:ascii="Arial" w:hAnsi="Arial" w:cs="Arial"/>
              <w:sz w:val="16"/>
              <w:szCs w:val="16"/>
            </w:rPr>
          </w:pPr>
          <w:r w:rsidRPr="00651574">
            <w:rPr>
              <w:rFonts w:ascii="Arial" w:hAnsi="Arial" w:cs="Arial"/>
              <w:sz w:val="16"/>
              <w:szCs w:val="16"/>
            </w:rPr>
            <w:t>DOI</w:t>
          </w:r>
          <w:r w:rsidR="00C64624">
            <w:rPr>
              <w:rFonts w:ascii="Arial" w:hAnsi="Arial" w:cs="Arial"/>
              <w:sz w:val="16"/>
              <w:szCs w:val="16"/>
            </w:rPr>
            <w:t xml:space="preserve"> </w:t>
          </w:r>
          <w:r w:rsidR="00C64624" w:rsidRPr="00C64624">
            <w:rPr>
              <w:rFonts w:ascii="Arial" w:hAnsi="Arial" w:cs="Arial"/>
              <w:sz w:val="16"/>
              <w:szCs w:val="16"/>
            </w:rPr>
            <w:t>10.18606/2318-1419/amazonia.sci.health.v14n1p182-197</w:t>
          </w:r>
        </w:p>
        <w:p w14:paraId="0BEEB98D" w14:textId="77777777" w:rsidR="00A22507" w:rsidRPr="00C64624" w:rsidRDefault="00A22507" w:rsidP="00C64624">
          <w:pPr>
            <w:pStyle w:val="Cabealho"/>
            <w:ind w:left="-78" w:right="-145"/>
            <w:rPr>
              <w:rFonts w:ascii="Arial" w:hAnsi="Arial" w:cs="Arial"/>
              <w:b/>
              <w:bCs/>
              <w:sz w:val="16"/>
              <w:szCs w:val="16"/>
            </w:rPr>
          </w:pPr>
          <w:r w:rsidRPr="00C64624">
            <w:rPr>
              <w:rFonts w:ascii="Arial" w:hAnsi="Arial" w:cs="Arial"/>
              <w:b/>
              <w:bCs/>
              <w:sz w:val="16"/>
              <w:szCs w:val="16"/>
            </w:rPr>
            <w:t xml:space="preserve">Revista </w:t>
          </w:r>
          <w:r w:rsidR="004C49B4" w:rsidRPr="00C64624">
            <w:rPr>
              <w:rFonts w:ascii="Arial" w:hAnsi="Arial" w:cs="Arial"/>
              <w:b/>
              <w:bCs/>
              <w:sz w:val="16"/>
              <w:szCs w:val="16"/>
            </w:rPr>
            <w:t>Amazônia Science &amp; Health</w:t>
          </w:r>
          <w:r w:rsidRPr="00C64624">
            <w:rPr>
              <w:rFonts w:ascii="Arial" w:hAnsi="Arial" w:cs="Arial"/>
              <w:b/>
              <w:bCs/>
              <w:sz w:val="16"/>
              <w:szCs w:val="16"/>
            </w:rPr>
            <w:t xml:space="preserve"> </w:t>
          </w:r>
        </w:p>
        <w:p w14:paraId="60510427" w14:textId="4B89A9CC" w:rsidR="00A22507" w:rsidRPr="00651574" w:rsidRDefault="00C64624" w:rsidP="00C64624">
          <w:pPr>
            <w:pStyle w:val="Cabealho"/>
            <w:ind w:left="-78" w:right="-145"/>
            <w:rPr>
              <w:rFonts w:ascii="Arial" w:hAnsi="Arial" w:cs="Arial"/>
              <w:sz w:val="16"/>
              <w:szCs w:val="16"/>
            </w:rPr>
          </w:pPr>
          <w:r>
            <w:rPr>
              <w:rFonts w:ascii="Arial" w:hAnsi="Arial" w:cs="Arial"/>
              <w:sz w:val="16"/>
              <w:szCs w:val="16"/>
            </w:rPr>
            <w:t>2026 – Edição 50 – Volume 14 – Número 1</w:t>
          </w:r>
        </w:p>
      </w:tc>
      <w:tc>
        <w:tcPr>
          <w:tcW w:w="5386" w:type="dxa"/>
        </w:tcPr>
        <w:p w14:paraId="219BFE2E" w14:textId="32864C17" w:rsidR="007B5DA6" w:rsidRPr="007B5DA6" w:rsidRDefault="007B5DA6" w:rsidP="007B5DA6">
          <w:pPr>
            <w:jc w:val="both"/>
            <w:rPr>
              <w:rFonts w:ascii="Arial" w:hAnsi="Arial" w:cs="Arial"/>
              <w:b/>
              <w:sz w:val="16"/>
              <w:szCs w:val="16"/>
            </w:rPr>
          </w:pPr>
          <w:r>
            <w:rPr>
              <w:rFonts w:ascii="Arial" w:hAnsi="Arial" w:cs="Arial"/>
              <w:b/>
              <w:sz w:val="16"/>
              <w:szCs w:val="16"/>
            </w:rPr>
            <w:t xml:space="preserve">FERREIRA, </w:t>
          </w:r>
          <w:r w:rsidRPr="007B5DA6">
            <w:rPr>
              <w:rFonts w:ascii="Arial" w:hAnsi="Arial" w:cs="Arial"/>
              <w:b/>
              <w:sz w:val="16"/>
              <w:szCs w:val="16"/>
            </w:rPr>
            <w:t>Humberto Batista</w:t>
          </w:r>
          <w:r>
            <w:rPr>
              <w:rFonts w:ascii="Arial" w:hAnsi="Arial" w:cs="Arial"/>
              <w:b/>
              <w:sz w:val="16"/>
              <w:szCs w:val="16"/>
            </w:rPr>
            <w:t>;</w:t>
          </w:r>
          <w:r w:rsidR="00D24C8C">
            <w:rPr>
              <w:rFonts w:ascii="Arial" w:hAnsi="Arial" w:cs="Arial"/>
              <w:b/>
              <w:sz w:val="16"/>
              <w:szCs w:val="16"/>
            </w:rPr>
            <w:t xml:space="preserve"> CIPRIANO, </w:t>
          </w:r>
          <w:r w:rsidRPr="007B5DA6">
            <w:rPr>
              <w:rFonts w:ascii="Arial" w:hAnsi="Arial" w:cs="Arial"/>
              <w:b/>
              <w:sz w:val="16"/>
              <w:szCs w:val="16"/>
            </w:rPr>
            <w:t>Raphael de Magalhães</w:t>
          </w:r>
          <w:r w:rsidR="00D24C8C">
            <w:rPr>
              <w:rFonts w:ascii="Arial" w:hAnsi="Arial" w:cs="Arial"/>
              <w:b/>
              <w:sz w:val="16"/>
              <w:szCs w:val="16"/>
            </w:rPr>
            <w:t>;</w:t>
          </w:r>
          <w:r w:rsidRPr="007B5DA6">
            <w:rPr>
              <w:rFonts w:ascii="Arial" w:hAnsi="Arial" w:cs="Arial"/>
              <w:b/>
              <w:sz w:val="16"/>
              <w:szCs w:val="16"/>
            </w:rPr>
            <w:t xml:space="preserve"> </w:t>
          </w:r>
          <w:r w:rsidR="00D24C8C">
            <w:rPr>
              <w:rFonts w:ascii="Arial" w:hAnsi="Arial" w:cs="Arial"/>
              <w:b/>
              <w:sz w:val="16"/>
              <w:szCs w:val="16"/>
            </w:rPr>
            <w:t xml:space="preserve">MARTINS, </w:t>
          </w:r>
          <w:r w:rsidRPr="007B5DA6">
            <w:rPr>
              <w:rFonts w:ascii="Arial" w:hAnsi="Arial" w:cs="Arial"/>
              <w:b/>
              <w:sz w:val="16"/>
              <w:szCs w:val="16"/>
            </w:rPr>
            <w:t>Ursula Carolina de Morais</w:t>
          </w:r>
          <w:r w:rsidR="00D24C8C">
            <w:rPr>
              <w:rFonts w:ascii="Arial" w:hAnsi="Arial" w:cs="Arial"/>
              <w:b/>
              <w:sz w:val="16"/>
              <w:szCs w:val="16"/>
            </w:rPr>
            <w:t>; GUERRA,</w:t>
          </w:r>
          <w:r w:rsidR="007372CD">
            <w:rPr>
              <w:rFonts w:ascii="Arial" w:hAnsi="Arial" w:cs="Arial"/>
              <w:b/>
              <w:sz w:val="16"/>
              <w:szCs w:val="16"/>
            </w:rPr>
            <w:t xml:space="preserve"> </w:t>
          </w:r>
          <w:r w:rsidRPr="007B5DA6">
            <w:rPr>
              <w:rFonts w:ascii="Arial" w:hAnsi="Arial" w:cs="Arial"/>
              <w:b/>
              <w:sz w:val="16"/>
              <w:szCs w:val="16"/>
            </w:rPr>
            <w:t>Augusto Afonso</w:t>
          </w:r>
          <w:r w:rsidR="007372CD">
            <w:rPr>
              <w:rFonts w:ascii="Arial" w:hAnsi="Arial" w:cs="Arial"/>
              <w:b/>
              <w:sz w:val="16"/>
              <w:szCs w:val="16"/>
            </w:rPr>
            <w:t xml:space="preserve">; DINIZ, </w:t>
          </w:r>
          <w:r w:rsidRPr="007B5DA6">
            <w:rPr>
              <w:rFonts w:ascii="Arial" w:hAnsi="Arial" w:cs="Arial"/>
              <w:b/>
              <w:sz w:val="16"/>
              <w:szCs w:val="16"/>
            </w:rPr>
            <w:t>Leonardo Maurício</w:t>
          </w:r>
          <w:r w:rsidR="007372CD">
            <w:rPr>
              <w:rFonts w:ascii="Arial" w:hAnsi="Arial" w:cs="Arial"/>
              <w:b/>
              <w:sz w:val="16"/>
              <w:szCs w:val="16"/>
            </w:rPr>
            <w:t>; TEODORO,</w:t>
          </w:r>
          <w:r w:rsidRPr="007B5DA6">
            <w:rPr>
              <w:rFonts w:ascii="Arial" w:hAnsi="Arial" w:cs="Arial"/>
              <w:b/>
              <w:sz w:val="16"/>
              <w:szCs w:val="16"/>
            </w:rPr>
            <w:t xml:space="preserve"> Juliana Álvares</w:t>
          </w:r>
          <w:r w:rsidR="007372CD">
            <w:rPr>
              <w:rFonts w:ascii="Arial" w:hAnsi="Arial" w:cs="Arial"/>
              <w:b/>
              <w:sz w:val="16"/>
              <w:szCs w:val="16"/>
            </w:rPr>
            <w:t>; ACÚRCIO</w:t>
          </w:r>
          <w:r w:rsidR="00C57C25">
            <w:rPr>
              <w:rFonts w:ascii="Arial" w:hAnsi="Arial" w:cs="Arial"/>
              <w:b/>
              <w:sz w:val="16"/>
              <w:szCs w:val="16"/>
            </w:rPr>
            <w:t xml:space="preserve">, </w:t>
          </w:r>
          <w:r w:rsidRPr="007B5DA6">
            <w:rPr>
              <w:rFonts w:ascii="Arial" w:hAnsi="Arial" w:cs="Arial"/>
              <w:b/>
              <w:sz w:val="16"/>
              <w:szCs w:val="16"/>
            </w:rPr>
            <w:t xml:space="preserve"> Francisco de Assis</w:t>
          </w:r>
          <w:r w:rsidR="00C57C25">
            <w:rPr>
              <w:rFonts w:ascii="Arial" w:hAnsi="Arial" w:cs="Arial"/>
              <w:b/>
              <w:sz w:val="16"/>
              <w:szCs w:val="16"/>
            </w:rPr>
            <w:t>.</w:t>
          </w:r>
        </w:p>
        <w:p w14:paraId="24D0B582" w14:textId="5D0A038C" w:rsidR="00D71916" w:rsidRPr="004C0033" w:rsidRDefault="001961CA" w:rsidP="007B5DA6">
          <w:pPr>
            <w:jc w:val="both"/>
            <w:rPr>
              <w:rFonts w:ascii="Arial" w:hAnsi="Arial" w:cs="Arial"/>
              <w:b/>
              <w:color w:val="FFFFFF" w:themeColor="background1"/>
              <w:sz w:val="4"/>
              <w:szCs w:val="16"/>
            </w:rPr>
          </w:pPr>
          <w:r w:rsidRPr="001961CA">
            <w:rPr>
              <w:rFonts w:ascii="Arial" w:hAnsi="Arial" w:cs="Arial"/>
              <w:sz w:val="16"/>
              <w:szCs w:val="16"/>
            </w:rPr>
            <w:t>Evaluation of the Efficacy and Safety of Sodium and Glucose Type 2Tubular Cotransporter Inhibitors: Systematic Review and Meta-analysis</w:t>
          </w:r>
          <w:r>
            <w:rPr>
              <w:rFonts w:ascii="Arial" w:hAnsi="Arial" w:cs="Arial"/>
              <w:sz w:val="16"/>
              <w:szCs w:val="16"/>
            </w:rPr>
            <w:t>.</w:t>
          </w:r>
        </w:p>
        <w:p w14:paraId="75D01517" w14:textId="77777777" w:rsidR="004C0033" w:rsidRPr="00677FEC" w:rsidRDefault="004C0033" w:rsidP="00C64624">
          <w:pPr>
            <w:spacing w:after="240"/>
            <w:ind w:left="-284" w:right="-352"/>
            <w:jc w:val="both"/>
            <w:rPr>
              <w:rFonts w:ascii="Arial" w:hAnsi="Arial" w:cs="Arial"/>
              <w:b/>
            </w:rPr>
          </w:pPr>
          <w:r w:rsidRPr="004C0033">
            <w:rPr>
              <w:rFonts w:ascii="Segoe UI" w:hAnsi="Segoe UI" w:cs="Segoe UI"/>
              <w:sz w:val="12"/>
              <w:szCs w:val="20"/>
              <w:highlight w:val="yellow"/>
              <w:shd w:val="clear" w:color="auto" w:fill="FFFFFF"/>
            </w:rPr>
            <w:t xml:space="preserve">A </w:t>
          </w:r>
          <w:r>
            <w:rPr>
              <w:rFonts w:ascii="Segoe UI" w:hAnsi="Segoe UI" w:cs="Segoe UI"/>
              <w:sz w:val="12"/>
              <w:szCs w:val="20"/>
              <w:highlight w:val="yellow"/>
              <w:shd w:val="clear" w:color="auto" w:fill="FFFFFF"/>
            </w:rPr>
            <w:t xml:space="preserve"> </w:t>
          </w:r>
        </w:p>
      </w:tc>
    </w:tr>
  </w:tbl>
  <w:p w14:paraId="289C0CB8" w14:textId="77777777" w:rsidR="00734797" w:rsidRPr="00BD0623" w:rsidRDefault="00734797" w:rsidP="00BD062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Wingdings" w:hAnsi="Wingdings" w:cs="Wingdings" w:hint="default"/>
        <w:lang w:val="pt-BR"/>
      </w:rPr>
    </w:lvl>
  </w:abstractNum>
  <w:abstractNum w:abstractNumId="1"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Wingdings" w:hAnsi="Wingdings" w:cs="Wingdings" w:hint="default"/>
        <w:color w:val="000000"/>
        <w:lang w:val="pt-BR"/>
      </w:rPr>
    </w:lvl>
  </w:abstractNum>
  <w:abstractNum w:abstractNumId="2" w15:restartNumberingAfterBreak="0">
    <w:nsid w:val="00000004"/>
    <w:multiLevelType w:val="singleLevel"/>
    <w:tmpl w:val="00000004"/>
    <w:name w:val="WW8Num3"/>
    <w:lvl w:ilvl="0">
      <w:start w:val="1"/>
      <w:numFmt w:val="bullet"/>
      <w:lvlText w:val=""/>
      <w:lvlJc w:val="left"/>
      <w:pPr>
        <w:tabs>
          <w:tab w:val="num" w:pos="0"/>
        </w:tabs>
        <w:ind w:left="720" w:hanging="360"/>
      </w:pPr>
      <w:rPr>
        <w:rFonts w:ascii="Wingdings" w:hAnsi="Wingdings" w:cs="Wingdings" w:hint="default"/>
        <w:lang w:val="pt-BR"/>
      </w:rPr>
    </w:lvl>
  </w:abstractNum>
  <w:abstractNum w:abstractNumId="3" w15:restartNumberingAfterBreak="0">
    <w:nsid w:val="00000005"/>
    <w:multiLevelType w:val="singleLevel"/>
    <w:tmpl w:val="00000005"/>
    <w:name w:val="WW8Num4"/>
    <w:lvl w:ilvl="0">
      <w:start w:val="1"/>
      <w:numFmt w:val="bullet"/>
      <w:lvlText w:val=""/>
      <w:lvlJc w:val="left"/>
      <w:pPr>
        <w:tabs>
          <w:tab w:val="num" w:pos="0"/>
        </w:tabs>
        <w:ind w:left="1507" w:hanging="360"/>
      </w:pPr>
      <w:rPr>
        <w:rFonts w:ascii="Wingdings" w:hAnsi="Wingdings" w:cs="Wingdings" w:hint="default"/>
        <w:color w:val="000000"/>
        <w:sz w:val="20"/>
        <w:szCs w:val="20"/>
      </w:rPr>
    </w:lvl>
  </w:abstractNum>
  <w:abstractNum w:abstractNumId="4" w15:restartNumberingAfterBreak="0">
    <w:nsid w:val="00000006"/>
    <w:multiLevelType w:val="singleLevel"/>
    <w:tmpl w:val="00000006"/>
    <w:name w:val="WW8Num5"/>
    <w:lvl w:ilvl="0">
      <w:start w:val="1"/>
      <w:numFmt w:val="bullet"/>
      <w:lvlText w:val=""/>
      <w:lvlJc w:val="left"/>
      <w:pPr>
        <w:tabs>
          <w:tab w:val="num" w:pos="0"/>
        </w:tabs>
        <w:ind w:left="720" w:hanging="360"/>
      </w:pPr>
      <w:rPr>
        <w:rFonts w:ascii="Wingdings" w:hAnsi="Wingdings" w:cs="Wingdings" w:hint="default"/>
        <w:color w:val="000000"/>
        <w:sz w:val="20"/>
        <w:szCs w:val="20"/>
      </w:rPr>
    </w:lvl>
  </w:abstractNum>
  <w:abstractNum w:abstractNumId="5"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Wingdings" w:hAnsi="Wingdings" w:cs="Wingdings" w:hint="default"/>
        <w:sz w:val="20"/>
        <w:szCs w:val="20"/>
      </w:rPr>
    </w:lvl>
  </w:abstractNum>
  <w:abstractNum w:abstractNumId="6"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Wingdings" w:hAnsi="Wingdings" w:cs="Wingdings" w:hint="default"/>
        <w:color w:val="000000"/>
        <w:lang w:val="pt-BR"/>
      </w:rPr>
    </w:lvl>
  </w:abstractNum>
  <w:abstractNum w:abstractNumId="7" w15:restartNumberingAfterBreak="0">
    <w:nsid w:val="01F40CA4"/>
    <w:multiLevelType w:val="hybridMultilevel"/>
    <w:tmpl w:val="36D4EC52"/>
    <w:lvl w:ilvl="0" w:tplc="A47A6D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4EB6079"/>
    <w:multiLevelType w:val="hybridMultilevel"/>
    <w:tmpl w:val="778485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8880111"/>
    <w:multiLevelType w:val="hybridMultilevel"/>
    <w:tmpl w:val="9A72AC5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75F5EB7"/>
    <w:multiLevelType w:val="hybridMultilevel"/>
    <w:tmpl w:val="F90005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03008ED"/>
    <w:multiLevelType w:val="hybridMultilevel"/>
    <w:tmpl w:val="D192450C"/>
    <w:lvl w:ilvl="0" w:tplc="6B6A5C80">
      <w:start w:val="1"/>
      <w:numFmt w:val="decimal"/>
      <w:lvlText w:val="%1."/>
      <w:lvlJc w:val="left"/>
      <w:pPr>
        <w:ind w:left="420" w:hanging="360"/>
      </w:pPr>
      <w:rPr>
        <w:rFonts w:hint="default"/>
        <w:color w:val="auto"/>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2" w15:restartNumberingAfterBreak="0">
    <w:nsid w:val="304A347A"/>
    <w:multiLevelType w:val="hybridMultilevel"/>
    <w:tmpl w:val="271247C4"/>
    <w:lvl w:ilvl="0" w:tplc="8DB6E536">
      <w:start w:val="1"/>
      <w:numFmt w:val="decimal"/>
      <w:lvlText w:val="%1."/>
      <w:lvlJc w:val="left"/>
      <w:pPr>
        <w:ind w:left="360" w:hanging="360"/>
      </w:pPr>
      <w:rPr>
        <w:rFonts w:hint="default"/>
        <w:color w:val="auto"/>
        <w:sz w:val="2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340E3ED4"/>
    <w:multiLevelType w:val="hybridMultilevel"/>
    <w:tmpl w:val="FDA8E2EC"/>
    <w:lvl w:ilvl="0" w:tplc="399C916C">
      <w:start w:val="1"/>
      <w:numFmt w:val="decimal"/>
      <w:lvlText w:val="%1."/>
      <w:lvlJc w:val="left"/>
      <w:pPr>
        <w:ind w:left="644" w:hanging="360"/>
      </w:pPr>
      <w:rPr>
        <w:b/>
      </w:r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14" w15:restartNumberingAfterBreak="0">
    <w:nsid w:val="41D123B3"/>
    <w:multiLevelType w:val="multilevel"/>
    <w:tmpl w:val="7E4800A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 w15:restartNumberingAfterBreak="0">
    <w:nsid w:val="447F0D57"/>
    <w:multiLevelType w:val="hybridMultilevel"/>
    <w:tmpl w:val="57802C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853593B"/>
    <w:multiLevelType w:val="hybridMultilevel"/>
    <w:tmpl w:val="084A65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D06187B"/>
    <w:multiLevelType w:val="hybridMultilevel"/>
    <w:tmpl w:val="95041F60"/>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1F44904"/>
    <w:multiLevelType w:val="hybridMultilevel"/>
    <w:tmpl w:val="DBD2B4D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58F87180"/>
    <w:multiLevelType w:val="hybridMultilevel"/>
    <w:tmpl w:val="F8708BFE"/>
    <w:lvl w:ilvl="0" w:tplc="E10E7F86">
      <w:start w:val="1"/>
      <w:numFmt w:val="decimal"/>
      <w:lvlText w:val="%1."/>
      <w:lvlJc w:val="left"/>
      <w:pPr>
        <w:ind w:left="1140" w:hanging="360"/>
      </w:pPr>
      <w:rPr>
        <w:rFonts w:hint="default"/>
        <w:b w:val="0"/>
        <w:color w:val="auto"/>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num w:numId="1" w16cid:durableId="2102724827">
    <w:abstractNumId w:val="17"/>
  </w:num>
  <w:num w:numId="2" w16cid:durableId="322053594">
    <w:abstractNumId w:val="13"/>
  </w:num>
  <w:num w:numId="3" w16cid:durableId="1376277419">
    <w:abstractNumId w:val="16"/>
  </w:num>
  <w:num w:numId="4" w16cid:durableId="1969119547">
    <w:abstractNumId w:val="18"/>
  </w:num>
  <w:num w:numId="5" w16cid:durableId="2018341342">
    <w:abstractNumId w:val="9"/>
  </w:num>
  <w:num w:numId="6" w16cid:durableId="971600482">
    <w:abstractNumId w:val="8"/>
  </w:num>
  <w:num w:numId="7" w16cid:durableId="968053896">
    <w:abstractNumId w:val="10"/>
  </w:num>
  <w:num w:numId="8" w16cid:durableId="54551957">
    <w:abstractNumId w:val="19"/>
  </w:num>
  <w:num w:numId="9" w16cid:durableId="1981884085">
    <w:abstractNumId w:val="7"/>
  </w:num>
  <w:num w:numId="10" w16cid:durableId="145631482">
    <w:abstractNumId w:val="12"/>
  </w:num>
  <w:num w:numId="11" w16cid:durableId="1947034379">
    <w:abstractNumId w:val="11"/>
  </w:num>
  <w:num w:numId="12" w16cid:durableId="1901161973">
    <w:abstractNumId w:val="15"/>
  </w:num>
  <w:num w:numId="13" w16cid:durableId="992946844">
    <w:abstractNumId w:val="14"/>
  </w:num>
  <w:num w:numId="14" w16cid:durableId="700593563">
    <w:abstractNumId w:val="0"/>
  </w:num>
  <w:num w:numId="15" w16cid:durableId="1386565096">
    <w:abstractNumId w:val="1"/>
  </w:num>
  <w:num w:numId="16" w16cid:durableId="2143041275">
    <w:abstractNumId w:val="2"/>
  </w:num>
  <w:num w:numId="17" w16cid:durableId="1960065597">
    <w:abstractNumId w:val="3"/>
  </w:num>
  <w:num w:numId="18" w16cid:durableId="1336686188">
    <w:abstractNumId w:val="4"/>
  </w:num>
  <w:num w:numId="19" w16cid:durableId="333070851">
    <w:abstractNumId w:val="5"/>
  </w:num>
  <w:num w:numId="20" w16cid:durableId="19500480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pt-BR" w:vendorID="64" w:dllVersion="6" w:nlCheck="1" w:checkStyle="0"/>
  <w:activeWritingStyle w:appName="MSWord" w:lang="en-US" w:vendorID="64" w:dllVersion="6" w:nlCheck="1" w:checkStyle="0"/>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defaultTabStop w:val="708"/>
  <w:hyphenationZone w:val="425"/>
  <w:characterSpacingControl w:val="doNotCompress"/>
  <w:hdrShapeDefaults>
    <o:shapedefaults v:ext="edit" spidmax="2050" fillcolor="#868686" strokecolor="#868686">
      <v:fill color="#868686"/>
      <v:stroke color="#868686" weight=".0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716"/>
    <w:rsid w:val="00002100"/>
    <w:rsid w:val="00002B36"/>
    <w:rsid w:val="00003503"/>
    <w:rsid w:val="00003EE9"/>
    <w:rsid w:val="00006F9F"/>
    <w:rsid w:val="00007287"/>
    <w:rsid w:val="000079AC"/>
    <w:rsid w:val="00007A17"/>
    <w:rsid w:val="0001060F"/>
    <w:rsid w:val="0001202A"/>
    <w:rsid w:val="000123F5"/>
    <w:rsid w:val="000157CA"/>
    <w:rsid w:val="00017373"/>
    <w:rsid w:val="00022A7F"/>
    <w:rsid w:val="000235A7"/>
    <w:rsid w:val="000245A9"/>
    <w:rsid w:val="00025106"/>
    <w:rsid w:val="00026430"/>
    <w:rsid w:val="00026B9C"/>
    <w:rsid w:val="00027758"/>
    <w:rsid w:val="000311A8"/>
    <w:rsid w:val="00032538"/>
    <w:rsid w:val="0003429B"/>
    <w:rsid w:val="00034DA2"/>
    <w:rsid w:val="00035567"/>
    <w:rsid w:val="00035FAC"/>
    <w:rsid w:val="000368EA"/>
    <w:rsid w:val="00037E8E"/>
    <w:rsid w:val="00041D7B"/>
    <w:rsid w:val="000427EF"/>
    <w:rsid w:val="00050E12"/>
    <w:rsid w:val="00051E75"/>
    <w:rsid w:val="000546BD"/>
    <w:rsid w:val="00055DB6"/>
    <w:rsid w:val="000605CE"/>
    <w:rsid w:val="00061470"/>
    <w:rsid w:val="00061B6C"/>
    <w:rsid w:val="00063C09"/>
    <w:rsid w:val="00064024"/>
    <w:rsid w:val="000642BE"/>
    <w:rsid w:val="0006643D"/>
    <w:rsid w:val="00067F29"/>
    <w:rsid w:val="00070271"/>
    <w:rsid w:val="00073430"/>
    <w:rsid w:val="0008115D"/>
    <w:rsid w:val="000816AA"/>
    <w:rsid w:val="00082F88"/>
    <w:rsid w:val="00083A67"/>
    <w:rsid w:val="000843B7"/>
    <w:rsid w:val="00086D25"/>
    <w:rsid w:val="00087577"/>
    <w:rsid w:val="00090FD8"/>
    <w:rsid w:val="00091641"/>
    <w:rsid w:val="00092BBF"/>
    <w:rsid w:val="00093605"/>
    <w:rsid w:val="000A2E78"/>
    <w:rsid w:val="000A43E9"/>
    <w:rsid w:val="000A698D"/>
    <w:rsid w:val="000A7CFB"/>
    <w:rsid w:val="000B4934"/>
    <w:rsid w:val="000B5840"/>
    <w:rsid w:val="000B5DDB"/>
    <w:rsid w:val="000B7F8B"/>
    <w:rsid w:val="000C16A9"/>
    <w:rsid w:val="000C22EE"/>
    <w:rsid w:val="000C2573"/>
    <w:rsid w:val="000C38F1"/>
    <w:rsid w:val="000C70D4"/>
    <w:rsid w:val="000C7EDB"/>
    <w:rsid w:val="000D0087"/>
    <w:rsid w:val="000D01F2"/>
    <w:rsid w:val="000D22F0"/>
    <w:rsid w:val="000D238F"/>
    <w:rsid w:val="000D2DFC"/>
    <w:rsid w:val="000E1614"/>
    <w:rsid w:val="000E1ACB"/>
    <w:rsid w:val="000E240A"/>
    <w:rsid w:val="000E687C"/>
    <w:rsid w:val="000F3C15"/>
    <w:rsid w:val="000F424B"/>
    <w:rsid w:val="000F5985"/>
    <w:rsid w:val="00101010"/>
    <w:rsid w:val="00101B73"/>
    <w:rsid w:val="00101F63"/>
    <w:rsid w:val="00102050"/>
    <w:rsid w:val="0010429F"/>
    <w:rsid w:val="0010479C"/>
    <w:rsid w:val="00104863"/>
    <w:rsid w:val="00105E8A"/>
    <w:rsid w:val="00106D02"/>
    <w:rsid w:val="00112543"/>
    <w:rsid w:val="001150F6"/>
    <w:rsid w:val="00115A64"/>
    <w:rsid w:val="00116FCC"/>
    <w:rsid w:val="0011730B"/>
    <w:rsid w:val="00117D98"/>
    <w:rsid w:val="00117E5F"/>
    <w:rsid w:val="001209B5"/>
    <w:rsid w:val="001216B8"/>
    <w:rsid w:val="00124B3E"/>
    <w:rsid w:val="00125CDE"/>
    <w:rsid w:val="001267D3"/>
    <w:rsid w:val="0013368F"/>
    <w:rsid w:val="00133D33"/>
    <w:rsid w:val="001340BE"/>
    <w:rsid w:val="00134B76"/>
    <w:rsid w:val="001350D8"/>
    <w:rsid w:val="001368FB"/>
    <w:rsid w:val="00136CFD"/>
    <w:rsid w:val="00136D32"/>
    <w:rsid w:val="00140F70"/>
    <w:rsid w:val="00141446"/>
    <w:rsid w:val="00142E25"/>
    <w:rsid w:val="00143363"/>
    <w:rsid w:val="00147A4F"/>
    <w:rsid w:val="0015091C"/>
    <w:rsid w:val="00151AB2"/>
    <w:rsid w:val="00155285"/>
    <w:rsid w:val="00156546"/>
    <w:rsid w:val="00157A19"/>
    <w:rsid w:val="00160825"/>
    <w:rsid w:val="00161390"/>
    <w:rsid w:val="0016317F"/>
    <w:rsid w:val="00163266"/>
    <w:rsid w:val="00164E46"/>
    <w:rsid w:val="0016796C"/>
    <w:rsid w:val="00167C6B"/>
    <w:rsid w:val="00173705"/>
    <w:rsid w:val="00174397"/>
    <w:rsid w:val="00176842"/>
    <w:rsid w:val="00176FEB"/>
    <w:rsid w:val="00180340"/>
    <w:rsid w:val="00180955"/>
    <w:rsid w:val="00180A64"/>
    <w:rsid w:val="00180BBB"/>
    <w:rsid w:val="00183BE7"/>
    <w:rsid w:val="00184479"/>
    <w:rsid w:val="00191012"/>
    <w:rsid w:val="001919D1"/>
    <w:rsid w:val="0019325A"/>
    <w:rsid w:val="001939B3"/>
    <w:rsid w:val="00193A59"/>
    <w:rsid w:val="001940D1"/>
    <w:rsid w:val="00194880"/>
    <w:rsid w:val="00195AE1"/>
    <w:rsid w:val="00195C06"/>
    <w:rsid w:val="00195FFC"/>
    <w:rsid w:val="001961CA"/>
    <w:rsid w:val="00196520"/>
    <w:rsid w:val="00197BC1"/>
    <w:rsid w:val="00197C7C"/>
    <w:rsid w:val="00197E2F"/>
    <w:rsid w:val="001A1B94"/>
    <w:rsid w:val="001A33B0"/>
    <w:rsid w:val="001A3983"/>
    <w:rsid w:val="001A3ECF"/>
    <w:rsid w:val="001A5277"/>
    <w:rsid w:val="001B1EA6"/>
    <w:rsid w:val="001B3062"/>
    <w:rsid w:val="001B5345"/>
    <w:rsid w:val="001B6735"/>
    <w:rsid w:val="001C09CD"/>
    <w:rsid w:val="001C0B5D"/>
    <w:rsid w:val="001C1984"/>
    <w:rsid w:val="001C2FCA"/>
    <w:rsid w:val="001C33A6"/>
    <w:rsid w:val="001C3768"/>
    <w:rsid w:val="001C394B"/>
    <w:rsid w:val="001C3C91"/>
    <w:rsid w:val="001C463F"/>
    <w:rsid w:val="001C4E69"/>
    <w:rsid w:val="001C7416"/>
    <w:rsid w:val="001D1E40"/>
    <w:rsid w:val="001D27F9"/>
    <w:rsid w:val="001D2ADD"/>
    <w:rsid w:val="001D31DB"/>
    <w:rsid w:val="001D327E"/>
    <w:rsid w:val="001D3448"/>
    <w:rsid w:val="001D38A8"/>
    <w:rsid w:val="001D499C"/>
    <w:rsid w:val="001D53A5"/>
    <w:rsid w:val="001D56DF"/>
    <w:rsid w:val="001D6212"/>
    <w:rsid w:val="001D778E"/>
    <w:rsid w:val="001E0F1B"/>
    <w:rsid w:val="001E1275"/>
    <w:rsid w:val="001E5C32"/>
    <w:rsid w:val="001E73B3"/>
    <w:rsid w:val="001E7C9A"/>
    <w:rsid w:val="001F1C70"/>
    <w:rsid w:val="001F3346"/>
    <w:rsid w:val="001F5AF4"/>
    <w:rsid w:val="001F5F9F"/>
    <w:rsid w:val="002008A4"/>
    <w:rsid w:val="002031B2"/>
    <w:rsid w:val="00204DD4"/>
    <w:rsid w:val="002058FB"/>
    <w:rsid w:val="002062BC"/>
    <w:rsid w:val="00207E90"/>
    <w:rsid w:val="0021115B"/>
    <w:rsid w:val="0021255D"/>
    <w:rsid w:val="00212930"/>
    <w:rsid w:val="002147F0"/>
    <w:rsid w:val="002208A5"/>
    <w:rsid w:val="002210AC"/>
    <w:rsid w:val="00223EEA"/>
    <w:rsid w:val="00224271"/>
    <w:rsid w:val="00224600"/>
    <w:rsid w:val="00224F78"/>
    <w:rsid w:val="00231B49"/>
    <w:rsid w:val="00232676"/>
    <w:rsid w:val="00233256"/>
    <w:rsid w:val="002341DE"/>
    <w:rsid w:val="002352C6"/>
    <w:rsid w:val="00236F4D"/>
    <w:rsid w:val="002442D5"/>
    <w:rsid w:val="00245927"/>
    <w:rsid w:val="00245F48"/>
    <w:rsid w:val="00250572"/>
    <w:rsid w:val="002508D6"/>
    <w:rsid w:val="00252573"/>
    <w:rsid w:val="0025340F"/>
    <w:rsid w:val="00256159"/>
    <w:rsid w:val="00260C69"/>
    <w:rsid w:val="00260CAF"/>
    <w:rsid w:val="00262F94"/>
    <w:rsid w:val="00264D20"/>
    <w:rsid w:val="00264E82"/>
    <w:rsid w:val="0026737C"/>
    <w:rsid w:val="002728C5"/>
    <w:rsid w:val="002728F8"/>
    <w:rsid w:val="00272C92"/>
    <w:rsid w:val="00273751"/>
    <w:rsid w:val="002738DF"/>
    <w:rsid w:val="00275ECE"/>
    <w:rsid w:val="00277288"/>
    <w:rsid w:val="00277AC9"/>
    <w:rsid w:val="00280259"/>
    <w:rsid w:val="002857A6"/>
    <w:rsid w:val="00285866"/>
    <w:rsid w:val="00286408"/>
    <w:rsid w:val="00286896"/>
    <w:rsid w:val="00286CE5"/>
    <w:rsid w:val="00286FED"/>
    <w:rsid w:val="0028701F"/>
    <w:rsid w:val="002936D2"/>
    <w:rsid w:val="00296965"/>
    <w:rsid w:val="002977D3"/>
    <w:rsid w:val="002A08FA"/>
    <w:rsid w:val="002A0CDE"/>
    <w:rsid w:val="002A43B2"/>
    <w:rsid w:val="002A54AC"/>
    <w:rsid w:val="002A738E"/>
    <w:rsid w:val="002A7E6C"/>
    <w:rsid w:val="002B0069"/>
    <w:rsid w:val="002B26B9"/>
    <w:rsid w:val="002B2EFC"/>
    <w:rsid w:val="002B371A"/>
    <w:rsid w:val="002B5FD8"/>
    <w:rsid w:val="002B602D"/>
    <w:rsid w:val="002C0107"/>
    <w:rsid w:val="002C019D"/>
    <w:rsid w:val="002C0544"/>
    <w:rsid w:val="002C0C52"/>
    <w:rsid w:val="002C14D8"/>
    <w:rsid w:val="002C3221"/>
    <w:rsid w:val="002C323D"/>
    <w:rsid w:val="002C3E92"/>
    <w:rsid w:val="002C550B"/>
    <w:rsid w:val="002C55C6"/>
    <w:rsid w:val="002C6E98"/>
    <w:rsid w:val="002D08C8"/>
    <w:rsid w:val="002D0FEF"/>
    <w:rsid w:val="002D14CA"/>
    <w:rsid w:val="002D1D77"/>
    <w:rsid w:val="002D32D7"/>
    <w:rsid w:val="002D67AB"/>
    <w:rsid w:val="002E1165"/>
    <w:rsid w:val="002E36DB"/>
    <w:rsid w:val="002E4C31"/>
    <w:rsid w:val="002E5188"/>
    <w:rsid w:val="002E61E6"/>
    <w:rsid w:val="002F0EC8"/>
    <w:rsid w:val="002F19C3"/>
    <w:rsid w:val="002F2AA8"/>
    <w:rsid w:val="002F3981"/>
    <w:rsid w:val="002F5AF1"/>
    <w:rsid w:val="002F7E1E"/>
    <w:rsid w:val="00304B4B"/>
    <w:rsid w:val="0030531A"/>
    <w:rsid w:val="00306373"/>
    <w:rsid w:val="00306D25"/>
    <w:rsid w:val="00307016"/>
    <w:rsid w:val="0031066A"/>
    <w:rsid w:val="00310B38"/>
    <w:rsid w:val="00310BAC"/>
    <w:rsid w:val="003122AA"/>
    <w:rsid w:val="003134B3"/>
    <w:rsid w:val="0031470C"/>
    <w:rsid w:val="00314B79"/>
    <w:rsid w:val="00315640"/>
    <w:rsid w:val="00315AAA"/>
    <w:rsid w:val="003166B3"/>
    <w:rsid w:val="00320D51"/>
    <w:rsid w:val="00320EA1"/>
    <w:rsid w:val="00321106"/>
    <w:rsid w:val="00322351"/>
    <w:rsid w:val="00323394"/>
    <w:rsid w:val="0032397D"/>
    <w:rsid w:val="00323BD6"/>
    <w:rsid w:val="0032510F"/>
    <w:rsid w:val="00325374"/>
    <w:rsid w:val="0032602D"/>
    <w:rsid w:val="00330174"/>
    <w:rsid w:val="00332B86"/>
    <w:rsid w:val="0033379B"/>
    <w:rsid w:val="0033647B"/>
    <w:rsid w:val="00336AF3"/>
    <w:rsid w:val="00337FF1"/>
    <w:rsid w:val="003429F2"/>
    <w:rsid w:val="00342ACC"/>
    <w:rsid w:val="00344599"/>
    <w:rsid w:val="00345342"/>
    <w:rsid w:val="00350A34"/>
    <w:rsid w:val="00352064"/>
    <w:rsid w:val="0035408E"/>
    <w:rsid w:val="003556BD"/>
    <w:rsid w:val="003563AB"/>
    <w:rsid w:val="003564E4"/>
    <w:rsid w:val="00357487"/>
    <w:rsid w:val="003574E9"/>
    <w:rsid w:val="00371B18"/>
    <w:rsid w:val="00371D9A"/>
    <w:rsid w:val="00373688"/>
    <w:rsid w:val="00376937"/>
    <w:rsid w:val="003773A0"/>
    <w:rsid w:val="003779E9"/>
    <w:rsid w:val="003813C3"/>
    <w:rsid w:val="00391768"/>
    <w:rsid w:val="00395233"/>
    <w:rsid w:val="00395390"/>
    <w:rsid w:val="003A178E"/>
    <w:rsid w:val="003A182C"/>
    <w:rsid w:val="003A23B8"/>
    <w:rsid w:val="003B0656"/>
    <w:rsid w:val="003B0B67"/>
    <w:rsid w:val="003B0DE8"/>
    <w:rsid w:val="003B1339"/>
    <w:rsid w:val="003B498D"/>
    <w:rsid w:val="003B5C90"/>
    <w:rsid w:val="003B6EDE"/>
    <w:rsid w:val="003B745C"/>
    <w:rsid w:val="003C2445"/>
    <w:rsid w:val="003C2724"/>
    <w:rsid w:val="003C2873"/>
    <w:rsid w:val="003C3D88"/>
    <w:rsid w:val="003D04D6"/>
    <w:rsid w:val="003D228C"/>
    <w:rsid w:val="003D22F9"/>
    <w:rsid w:val="003D304A"/>
    <w:rsid w:val="003D4716"/>
    <w:rsid w:val="003D6437"/>
    <w:rsid w:val="003D7825"/>
    <w:rsid w:val="003E11C4"/>
    <w:rsid w:val="003E20A7"/>
    <w:rsid w:val="003E24D4"/>
    <w:rsid w:val="003E4271"/>
    <w:rsid w:val="003E5815"/>
    <w:rsid w:val="003E79CF"/>
    <w:rsid w:val="003F09B8"/>
    <w:rsid w:val="003F148B"/>
    <w:rsid w:val="003F4C5F"/>
    <w:rsid w:val="003F6C97"/>
    <w:rsid w:val="003F74AD"/>
    <w:rsid w:val="004024E6"/>
    <w:rsid w:val="004035B5"/>
    <w:rsid w:val="0040521E"/>
    <w:rsid w:val="00405C0B"/>
    <w:rsid w:val="00406CE8"/>
    <w:rsid w:val="004077BC"/>
    <w:rsid w:val="00410A96"/>
    <w:rsid w:val="0041182A"/>
    <w:rsid w:val="004130E8"/>
    <w:rsid w:val="0041389E"/>
    <w:rsid w:val="004142C2"/>
    <w:rsid w:val="00415A41"/>
    <w:rsid w:val="004160C1"/>
    <w:rsid w:val="00420766"/>
    <w:rsid w:val="00424EAC"/>
    <w:rsid w:val="00424ED1"/>
    <w:rsid w:val="00430562"/>
    <w:rsid w:val="00433C11"/>
    <w:rsid w:val="004348FB"/>
    <w:rsid w:val="00434935"/>
    <w:rsid w:val="00435BE4"/>
    <w:rsid w:val="00437695"/>
    <w:rsid w:val="00437BEE"/>
    <w:rsid w:val="00437E6E"/>
    <w:rsid w:val="00441713"/>
    <w:rsid w:val="00441766"/>
    <w:rsid w:val="0044239A"/>
    <w:rsid w:val="00442DA0"/>
    <w:rsid w:val="00443E7D"/>
    <w:rsid w:val="004444CD"/>
    <w:rsid w:val="00444EA4"/>
    <w:rsid w:val="004459D2"/>
    <w:rsid w:val="00446698"/>
    <w:rsid w:val="004542BE"/>
    <w:rsid w:val="004551BF"/>
    <w:rsid w:val="004559E7"/>
    <w:rsid w:val="00457617"/>
    <w:rsid w:val="0045785B"/>
    <w:rsid w:val="00460676"/>
    <w:rsid w:val="004607DB"/>
    <w:rsid w:val="0046118B"/>
    <w:rsid w:val="004622DA"/>
    <w:rsid w:val="00462A98"/>
    <w:rsid w:val="004640F9"/>
    <w:rsid w:val="00470175"/>
    <w:rsid w:val="0047229C"/>
    <w:rsid w:val="004735F4"/>
    <w:rsid w:val="00473B60"/>
    <w:rsid w:val="00473F7F"/>
    <w:rsid w:val="0047732B"/>
    <w:rsid w:val="00481FE4"/>
    <w:rsid w:val="0048246B"/>
    <w:rsid w:val="004836EA"/>
    <w:rsid w:val="00485875"/>
    <w:rsid w:val="00487453"/>
    <w:rsid w:val="00490C6E"/>
    <w:rsid w:val="0049145D"/>
    <w:rsid w:val="00492D09"/>
    <w:rsid w:val="0049383A"/>
    <w:rsid w:val="0049384E"/>
    <w:rsid w:val="004939C0"/>
    <w:rsid w:val="00495376"/>
    <w:rsid w:val="00497219"/>
    <w:rsid w:val="00497EED"/>
    <w:rsid w:val="004A0384"/>
    <w:rsid w:val="004A1BEA"/>
    <w:rsid w:val="004A2F25"/>
    <w:rsid w:val="004A486B"/>
    <w:rsid w:val="004A4FC1"/>
    <w:rsid w:val="004A5F5E"/>
    <w:rsid w:val="004A639B"/>
    <w:rsid w:val="004B3697"/>
    <w:rsid w:val="004B399F"/>
    <w:rsid w:val="004B4C7F"/>
    <w:rsid w:val="004B4CE0"/>
    <w:rsid w:val="004B77D3"/>
    <w:rsid w:val="004B7B7E"/>
    <w:rsid w:val="004C0033"/>
    <w:rsid w:val="004C1DB0"/>
    <w:rsid w:val="004C21A0"/>
    <w:rsid w:val="004C373B"/>
    <w:rsid w:val="004C4071"/>
    <w:rsid w:val="004C4102"/>
    <w:rsid w:val="004C49B4"/>
    <w:rsid w:val="004C4EA6"/>
    <w:rsid w:val="004C504F"/>
    <w:rsid w:val="004C7654"/>
    <w:rsid w:val="004D142F"/>
    <w:rsid w:val="004D18CA"/>
    <w:rsid w:val="004D23DA"/>
    <w:rsid w:val="004D272B"/>
    <w:rsid w:val="004D4077"/>
    <w:rsid w:val="004D4420"/>
    <w:rsid w:val="004D5A01"/>
    <w:rsid w:val="004E48D6"/>
    <w:rsid w:val="004E627F"/>
    <w:rsid w:val="004E7C94"/>
    <w:rsid w:val="004F16CF"/>
    <w:rsid w:val="004F245D"/>
    <w:rsid w:val="004F46C4"/>
    <w:rsid w:val="004F5211"/>
    <w:rsid w:val="004F54D7"/>
    <w:rsid w:val="004F566D"/>
    <w:rsid w:val="004F56F0"/>
    <w:rsid w:val="004F7BA8"/>
    <w:rsid w:val="005001A6"/>
    <w:rsid w:val="0050027C"/>
    <w:rsid w:val="0050487D"/>
    <w:rsid w:val="0050513D"/>
    <w:rsid w:val="00505CE6"/>
    <w:rsid w:val="005123B8"/>
    <w:rsid w:val="00512AB4"/>
    <w:rsid w:val="00512B6F"/>
    <w:rsid w:val="005164F0"/>
    <w:rsid w:val="00516FC1"/>
    <w:rsid w:val="005202FC"/>
    <w:rsid w:val="005257AB"/>
    <w:rsid w:val="005261BC"/>
    <w:rsid w:val="00527347"/>
    <w:rsid w:val="0052790C"/>
    <w:rsid w:val="00527BCC"/>
    <w:rsid w:val="00530904"/>
    <w:rsid w:val="005326B4"/>
    <w:rsid w:val="005332CC"/>
    <w:rsid w:val="0053334A"/>
    <w:rsid w:val="00534401"/>
    <w:rsid w:val="00536887"/>
    <w:rsid w:val="00542D6A"/>
    <w:rsid w:val="005436A7"/>
    <w:rsid w:val="005437DA"/>
    <w:rsid w:val="005445DB"/>
    <w:rsid w:val="00546588"/>
    <w:rsid w:val="00546808"/>
    <w:rsid w:val="005519A2"/>
    <w:rsid w:val="0055305F"/>
    <w:rsid w:val="0055412E"/>
    <w:rsid w:val="0056035B"/>
    <w:rsid w:val="00561215"/>
    <w:rsid w:val="005628FE"/>
    <w:rsid w:val="0056363D"/>
    <w:rsid w:val="00565B8B"/>
    <w:rsid w:val="00566714"/>
    <w:rsid w:val="0056705F"/>
    <w:rsid w:val="005672E0"/>
    <w:rsid w:val="00571FD3"/>
    <w:rsid w:val="00573366"/>
    <w:rsid w:val="00576096"/>
    <w:rsid w:val="005773C5"/>
    <w:rsid w:val="00582373"/>
    <w:rsid w:val="0058373C"/>
    <w:rsid w:val="005843BB"/>
    <w:rsid w:val="0058465B"/>
    <w:rsid w:val="00585569"/>
    <w:rsid w:val="00586F17"/>
    <w:rsid w:val="00587EF6"/>
    <w:rsid w:val="005963C5"/>
    <w:rsid w:val="00596954"/>
    <w:rsid w:val="005A1E66"/>
    <w:rsid w:val="005A3934"/>
    <w:rsid w:val="005A4E8B"/>
    <w:rsid w:val="005A6071"/>
    <w:rsid w:val="005A70FF"/>
    <w:rsid w:val="005B10B8"/>
    <w:rsid w:val="005B1A5C"/>
    <w:rsid w:val="005B37D9"/>
    <w:rsid w:val="005B48E9"/>
    <w:rsid w:val="005B4BE8"/>
    <w:rsid w:val="005B6116"/>
    <w:rsid w:val="005B6D06"/>
    <w:rsid w:val="005C1FFC"/>
    <w:rsid w:val="005C337A"/>
    <w:rsid w:val="005C390E"/>
    <w:rsid w:val="005C442A"/>
    <w:rsid w:val="005C6483"/>
    <w:rsid w:val="005C7111"/>
    <w:rsid w:val="005C7412"/>
    <w:rsid w:val="005D60F0"/>
    <w:rsid w:val="005D6B58"/>
    <w:rsid w:val="005D73A5"/>
    <w:rsid w:val="005E04A7"/>
    <w:rsid w:val="005E1C8C"/>
    <w:rsid w:val="005E3DC4"/>
    <w:rsid w:val="005E5E42"/>
    <w:rsid w:val="005E65C4"/>
    <w:rsid w:val="005E7D75"/>
    <w:rsid w:val="005F14E3"/>
    <w:rsid w:val="005F171E"/>
    <w:rsid w:val="005F2027"/>
    <w:rsid w:val="005F23B8"/>
    <w:rsid w:val="005F3994"/>
    <w:rsid w:val="005F4096"/>
    <w:rsid w:val="005F6975"/>
    <w:rsid w:val="005F7371"/>
    <w:rsid w:val="0060302E"/>
    <w:rsid w:val="00606BBC"/>
    <w:rsid w:val="00610888"/>
    <w:rsid w:val="0061319C"/>
    <w:rsid w:val="0061678B"/>
    <w:rsid w:val="00616CF4"/>
    <w:rsid w:val="0062032C"/>
    <w:rsid w:val="006208C4"/>
    <w:rsid w:val="0062257F"/>
    <w:rsid w:val="00622E6C"/>
    <w:rsid w:val="006232FE"/>
    <w:rsid w:val="00623E7B"/>
    <w:rsid w:val="00626D62"/>
    <w:rsid w:val="00627CB2"/>
    <w:rsid w:val="00630A11"/>
    <w:rsid w:val="00631084"/>
    <w:rsid w:val="0063199D"/>
    <w:rsid w:val="00631F90"/>
    <w:rsid w:val="00632C72"/>
    <w:rsid w:val="006341AF"/>
    <w:rsid w:val="00635280"/>
    <w:rsid w:val="00641D77"/>
    <w:rsid w:val="00642623"/>
    <w:rsid w:val="00642A77"/>
    <w:rsid w:val="006454B2"/>
    <w:rsid w:val="00645C7D"/>
    <w:rsid w:val="006471D5"/>
    <w:rsid w:val="00651574"/>
    <w:rsid w:val="00651EB0"/>
    <w:rsid w:val="006524E3"/>
    <w:rsid w:val="00652838"/>
    <w:rsid w:val="00653CEB"/>
    <w:rsid w:val="00653D40"/>
    <w:rsid w:val="006600E0"/>
    <w:rsid w:val="00660756"/>
    <w:rsid w:val="00661756"/>
    <w:rsid w:val="00661AED"/>
    <w:rsid w:val="0066227E"/>
    <w:rsid w:val="00663421"/>
    <w:rsid w:val="00667124"/>
    <w:rsid w:val="00670FBC"/>
    <w:rsid w:val="00672919"/>
    <w:rsid w:val="00672A50"/>
    <w:rsid w:val="00673D45"/>
    <w:rsid w:val="0067735E"/>
    <w:rsid w:val="006776BD"/>
    <w:rsid w:val="00677AC7"/>
    <w:rsid w:val="00677FEC"/>
    <w:rsid w:val="00680C9F"/>
    <w:rsid w:val="00681DD8"/>
    <w:rsid w:val="00681F77"/>
    <w:rsid w:val="006849AE"/>
    <w:rsid w:val="0068515E"/>
    <w:rsid w:val="00686106"/>
    <w:rsid w:val="006878A1"/>
    <w:rsid w:val="006900CF"/>
    <w:rsid w:val="0069221A"/>
    <w:rsid w:val="00692433"/>
    <w:rsid w:val="006927D6"/>
    <w:rsid w:val="0069489D"/>
    <w:rsid w:val="006A10C0"/>
    <w:rsid w:val="006B4E7C"/>
    <w:rsid w:val="006B73F0"/>
    <w:rsid w:val="006B75D0"/>
    <w:rsid w:val="006B7875"/>
    <w:rsid w:val="006B7AF9"/>
    <w:rsid w:val="006C0337"/>
    <w:rsid w:val="006C233E"/>
    <w:rsid w:val="006C252C"/>
    <w:rsid w:val="006C3218"/>
    <w:rsid w:val="006C36D8"/>
    <w:rsid w:val="006C386B"/>
    <w:rsid w:val="006C4885"/>
    <w:rsid w:val="006C5626"/>
    <w:rsid w:val="006C591F"/>
    <w:rsid w:val="006C5ABB"/>
    <w:rsid w:val="006D1478"/>
    <w:rsid w:val="006D2430"/>
    <w:rsid w:val="006D486C"/>
    <w:rsid w:val="006D62C2"/>
    <w:rsid w:val="006D6E2A"/>
    <w:rsid w:val="006E2609"/>
    <w:rsid w:val="006E398C"/>
    <w:rsid w:val="006F28BE"/>
    <w:rsid w:val="006F2C4C"/>
    <w:rsid w:val="006F3E68"/>
    <w:rsid w:val="006F47E7"/>
    <w:rsid w:val="006F4D14"/>
    <w:rsid w:val="006F57C3"/>
    <w:rsid w:val="00700197"/>
    <w:rsid w:val="00701F41"/>
    <w:rsid w:val="00704896"/>
    <w:rsid w:val="00704FBA"/>
    <w:rsid w:val="00705996"/>
    <w:rsid w:val="00707202"/>
    <w:rsid w:val="007129F9"/>
    <w:rsid w:val="007131F9"/>
    <w:rsid w:val="0071412C"/>
    <w:rsid w:val="00714A1B"/>
    <w:rsid w:val="007200B2"/>
    <w:rsid w:val="00721093"/>
    <w:rsid w:val="0072622F"/>
    <w:rsid w:val="00727B1D"/>
    <w:rsid w:val="00727F31"/>
    <w:rsid w:val="007330B9"/>
    <w:rsid w:val="007332EF"/>
    <w:rsid w:val="00734797"/>
    <w:rsid w:val="00734A08"/>
    <w:rsid w:val="00734FFA"/>
    <w:rsid w:val="007358C6"/>
    <w:rsid w:val="00736CF7"/>
    <w:rsid w:val="007372CD"/>
    <w:rsid w:val="00740151"/>
    <w:rsid w:val="00740FF9"/>
    <w:rsid w:val="007413CB"/>
    <w:rsid w:val="00744C08"/>
    <w:rsid w:val="0074799D"/>
    <w:rsid w:val="007517DE"/>
    <w:rsid w:val="00754835"/>
    <w:rsid w:val="00760473"/>
    <w:rsid w:val="0076285A"/>
    <w:rsid w:val="00763D1A"/>
    <w:rsid w:val="00765B8D"/>
    <w:rsid w:val="00765F8A"/>
    <w:rsid w:val="00767565"/>
    <w:rsid w:val="00773A82"/>
    <w:rsid w:val="00774E9D"/>
    <w:rsid w:val="00774FA9"/>
    <w:rsid w:val="0077504F"/>
    <w:rsid w:val="00776270"/>
    <w:rsid w:val="00783A03"/>
    <w:rsid w:val="00784B8D"/>
    <w:rsid w:val="00784C82"/>
    <w:rsid w:val="00785FC9"/>
    <w:rsid w:val="00787CF0"/>
    <w:rsid w:val="0079215F"/>
    <w:rsid w:val="007944A8"/>
    <w:rsid w:val="007945B3"/>
    <w:rsid w:val="007954B3"/>
    <w:rsid w:val="00795A36"/>
    <w:rsid w:val="00795ACD"/>
    <w:rsid w:val="007961DF"/>
    <w:rsid w:val="007A1701"/>
    <w:rsid w:val="007A1C2D"/>
    <w:rsid w:val="007B077F"/>
    <w:rsid w:val="007B0B41"/>
    <w:rsid w:val="007B14C2"/>
    <w:rsid w:val="007B1DCD"/>
    <w:rsid w:val="007B2067"/>
    <w:rsid w:val="007B4533"/>
    <w:rsid w:val="007B4A6C"/>
    <w:rsid w:val="007B5C33"/>
    <w:rsid w:val="007B5DA6"/>
    <w:rsid w:val="007B6285"/>
    <w:rsid w:val="007B6451"/>
    <w:rsid w:val="007B64D0"/>
    <w:rsid w:val="007B6DDC"/>
    <w:rsid w:val="007C186A"/>
    <w:rsid w:val="007C2018"/>
    <w:rsid w:val="007C7116"/>
    <w:rsid w:val="007D0CBA"/>
    <w:rsid w:val="007D1DEE"/>
    <w:rsid w:val="007D6DCA"/>
    <w:rsid w:val="007E1703"/>
    <w:rsid w:val="007E3819"/>
    <w:rsid w:val="007F370E"/>
    <w:rsid w:val="007F4445"/>
    <w:rsid w:val="007F566C"/>
    <w:rsid w:val="00800B36"/>
    <w:rsid w:val="00800B88"/>
    <w:rsid w:val="008034FC"/>
    <w:rsid w:val="0080436D"/>
    <w:rsid w:val="0080486B"/>
    <w:rsid w:val="00805A08"/>
    <w:rsid w:val="00805BDB"/>
    <w:rsid w:val="0081140A"/>
    <w:rsid w:val="008115F7"/>
    <w:rsid w:val="00811973"/>
    <w:rsid w:val="0081392A"/>
    <w:rsid w:val="00815793"/>
    <w:rsid w:val="00815DB7"/>
    <w:rsid w:val="00817005"/>
    <w:rsid w:val="00817803"/>
    <w:rsid w:val="008178D3"/>
    <w:rsid w:val="00823C27"/>
    <w:rsid w:val="00824106"/>
    <w:rsid w:val="00825174"/>
    <w:rsid w:val="008259BA"/>
    <w:rsid w:val="00834998"/>
    <w:rsid w:val="00836C41"/>
    <w:rsid w:val="008370DB"/>
    <w:rsid w:val="008400E9"/>
    <w:rsid w:val="00840157"/>
    <w:rsid w:val="008407A4"/>
    <w:rsid w:val="00843C86"/>
    <w:rsid w:val="008463CA"/>
    <w:rsid w:val="00850D75"/>
    <w:rsid w:val="00851851"/>
    <w:rsid w:val="00851AEE"/>
    <w:rsid w:val="00852665"/>
    <w:rsid w:val="00852876"/>
    <w:rsid w:val="00853110"/>
    <w:rsid w:val="0085688B"/>
    <w:rsid w:val="0086206B"/>
    <w:rsid w:val="00862668"/>
    <w:rsid w:val="0086723A"/>
    <w:rsid w:val="00870CFF"/>
    <w:rsid w:val="00870EB0"/>
    <w:rsid w:val="00872C95"/>
    <w:rsid w:val="00872CDC"/>
    <w:rsid w:val="0087603A"/>
    <w:rsid w:val="00877D63"/>
    <w:rsid w:val="00882F37"/>
    <w:rsid w:val="0088469A"/>
    <w:rsid w:val="008853EA"/>
    <w:rsid w:val="008854AD"/>
    <w:rsid w:val="00887717"/>
    <w:rsid w:val="008877FD"/>
    <w:rsid w:val="00887A4F"/>
    <w:rsid w:val="00892B51"/>
    <w:rsid w:val="0089369E"/>
    <w:rsid w:val="008937A0"/>
    <w:rsid w:val="00897236"/>
    <w:rsid w:val="00897705"/>
    <w:rsid w:val="008A2935"/>
    <w:rsid w:val="008A2BCD"/>
    <w:rsid w:val="008A560B"/>
    <w:rsid w:val="008A5B57"/>
    <w:rsid w:val="008A68F4"/>
    <w:rsid w:val="008B0545"/>
    <w:rsid w:val="008B1D79"/>
    <w:rsid w:val="008B23CC"/>
    <w:rsid w:val="008B3AA7"/>
    <w:rsid w:val="008B3E32"/>
    <w:rsid w:val="008B5063"/>
    <w:rsid w:val="008B6C0E"/>
    <w:rsid w:val="008B7848"/>
    <w:rsid w:val="008C4C92"/>
    <w:rsid w:val="008C527B"/>
    <w:rsid w:val="008C56EF"/>
    <w:rsid w:val="008C5E56"/>
    <w:rsid w:val="008C61E0"/>
    <w:rsid w:val="008C71A5"/>
    <w:rsid w:val="008D59AE"/>
    <w:rsid w:val="008D790D"/>
    <w:rsid w:val="008E1603"/>
    <w:rsid w:val="008E1F7A"/>
    <w:rsid w:val="008E33A9"/>
    <w:rsid w:val="008E404E"/>
    <w:rsid w:val="008E559F"/>
    <w:rsid w:val="008E644F"/>
    <w:rsid w:val="008F1A75"/>
    <w:rsid w:val="008F2302"/>
    <w:rsid w:val="008F29A3"/>
    <w:rsid w:val="008F3645"/>
    <w:rsid w:val="008F4A5A"/>
    <w:rsid w:val="008F5F4C"/>
    <w:rsid w:val="008F6868"/>
    <w:rsid w:val="00901565"/>
    <w:rsid w:val="0091125E"/>
    <w:rsid w:val="009116D4"/>
    <w:rsid w:val="00913BCE"/>
    <w:rsid w:val="009151FE"/>
    <w:rsid w:val="0091729F"/>
    <w:rsid w:val="00920471"/>
    <w:rsid w:val="00920A74"/>
    <w:rsid w:val="009219F5"/>
    <w:rsid w:val="00922E39"/>
    <w:rsid w:val="00924291"/>
    <w:rsid w:val="00924CA3"/>
    <w:rsid w:val="00925037"/>
    <w:rsid w:val="0092517F"/>
    <w:rsid w:val="0092656E"/>
    <w:rsid w:val="00926C3F"/>
    <w:rsid w:val="0092736A"/>
    <w:rsid w:val="009279DA"/>
    <w:rsid w:val="00932A13"/>
    <w:rsid w:val="009353EE"/>
    <w:rsid w:val="00935A67"/>
    <w:rsid w:val="00935BC6"/>
    <w:rsid w:val="00940C14"/>
    <w:rsid w:val="009410DE"/>
    <w:rsid w:val="009424DD"/>
    <w:rsid w:val="009438E4"/>
    <w:rsid w:val="0094417C"/>
    <w:rsid w:val="009442A6"/>
    <w:rsid w:val="00950E14"/>
    <w:rsid w:val="00951034"/>
    <w:rsid w:val="00952258"/>
    <w:rsid w:val="009542EF"/>
    <w:rsid w:val="00956878"/>
    <w:rsid w:val="00957A02"/>
    <w:rsid w:val="00960905"/>
    <w:rsid w:val="00961125"/>
    <w:rsid w:val="00961419"/>
    <w:rsid w:val="00965204"/>
    <w:rsid w:val="00967AFF"/>
    <w:rsid w:val="009702E5"/>
    <w:rsid w:val="00972709"/>
    <w:rsid w:val="0097487B"/>
    <w:rsid w:val="00977021"/>
    <w:rsid w:val="00977C9A"/>
    <w:rsid w:val="00982511"/>
    <w:rsid w:val="00986977"/>
    <w:rsid w:val="00990671"/>
    <w:rsid w:val="00990E90"/>
    <w:rsid w:val="0099180D"/>
    <w:rsid w:val="0099673F"/>
    <w:rsid w:val="00996C1B"/>
    <w:rsid w:val="0099709B"/>
    <w:rsid w:val="00997E67"/>
    <w:rsid w:val="009A09B2"/>
    <w:rsid w:val="009A2552"/>
    <w:rsid w:val="009A474C"/>
    <w:rsid w:val="009A4DEE"/>
    <w:rsid w:val="009A5739"/>
    <w:rsid w:val="009A7490"/>
    <w:rsid w:val="009B33F5"/>
    <w:rsid w:val="009B3BC4"/>
    <w:rsid w:val="009B5597"/>
    <w:rsid w:val="009B5B67"/>
    <w:rsid w:val="009B790D"/>
    <w:rsid w:val="009B7CD3"/>
    <w:rsid w:val="009C4FAB"/>
    <w:rsid w:val="009C6495"/>
    <w:rsid w:val="009C6719"/>
    <w:rsid w:val="009C7FE6"/>
    <w:rsid w:val="009D2ACA"/>
    <w:rsid w:val="009D33B0"/>
    <w:rsid w:val="009D430B"/>
    <w:rsid w:val="009D4374"/>
    <w:rsid w:val="009D4E84"/>
    <w:rsid w:val="009D6412"/>
    <w:rsid w:val="009D735F"/>
    <w:rsid w:val="009D76E1"/>
    <w:rsid w:val="009E1B9D"/>
    <w:rsid w:val="009E2803"/>
    <w:rsid w:val="009E31CC"/>
    <w:rsid w:val="009E651D"/>
    <w:rsid w:val="009E6967"/>
    <w:rsid w:val="009F2976"/>
    <w:rsid w:val="009F3197"/>
    <w:rsid w:val="009F33E1"/>
    <w:rsid w:val="009F47E6"/>
    <w:rsid w:val="009F740B"/>
    <w:rsid w:val="009F7AF7"/>
    <w:rsid w:val="009F7DBF"/>
    <w:rsid w:val="00A01534"/>
    <w:rsid w:val="00A0347C"/>
    <w:rsid w:val="00A04401"/>
    <w:rsid w:val="00A04AF2"/>
    <w:rsid w:val="00A05E35"/>
    <w:rsid w:val="00A11506"/>
    <w:rsid w:val="00A11EC1"/>
    <w:rsid w:val="00A156B4"/>
    <w:rsid w:val="00A200BA"/>
    <w:rsid w:val="00A22507"/>
    <w:rsid w:val="00A249F3"/>
    <w:rsid w:val="00A30B98"/>
    <w:rsid w:val="00A32425"/>
    <w:rsid w:val="00A358D3"/>
    <w:rsid w:val="00A36039"/>
    <w:rsid w:val="00A400CE"/>
    <w:rsid w:val="00A421BA"/>
    <w:rsid w:val="00A461AF"/>
    <w:rsid w:val="00A471CD"/>
    <w:rsid w:val="00A47273"/>
    <w:rsid w:val="00A4735B"/>
    <w:rsid w:val="00A47F7C"/>
    <w:rsid w:val="00A50115"/>
    <w:rsid w:val="00A502EB"/>
    <w:rsid w:val="00A50359"/>
    <w:rsid w:val="00A50953"/>
    <w:rsid w:val="00A51AB2"/>
    <w:rsid w:val="00A52156"/>
    <w:rsid w:val="00A522AB"/>
    <w:rsid w:val="00A53384"/>
    <w:rsid w:val="00A56649"/>
    <w:rsid w:val="00A57CF5"/>
    <w:rsid w:val="00A6037E"/>
    <w:rsid w:val="00A62CC1"/>
    <w:rsid w:val="00A63FEE"/>
    <w:rsid w:val="00A6669B"/>
    <w:rsid w:val="00A67DF5"/>
    <w:rsid w:val="00A71560"/>
    <w:rsid w:val="00A71B37"/>
    <w:rsid w:val="00A72A65"/>
    <w:rsid w:val="00A7493D"/>
    <w:rsid w:val="00A76631"/>
    <w:rsid w:val="00A804EE"/>
    <w:rsid w:val="00A80705"/>
    <w:rsid w:val="00A80CA7"/>
    <w:rsid w:val="00A838FA"/>
    <w:rsid w:val="00A84CDD"/>
    <w:rsid w:val="00A86078"/>
    <w:rsid w:val="00A86114"/>
    <w:rsid w:val="00A91A90"/>
    <w:rsid w:val="00A920BF"/>
    <w:rsid w:val="00A9399A"/>
    <w:rsid w:val="00A956CD"/>
    <w:rsid w:val="00A95DAF"/>
    <w:rsid w:val="00A965B0"/>
    <w:rsid w:val="00AA0594"/>
    <w:rsid w:val="00AA1A9E"/>
    <w:rsid w:val="00AA436A"/>
    <w:rsid w:val="00AA5565"/>
    <w:rsid w:val="00AA5FE8"/>
    <w:rsid w:val="00AB23E0"/>
    <w:rsid w:val="00AC28C3"/>
    <w:rsid w:val="00AC38A8"/>
    <w:rsid w:val="00AC4A4B"/>
    <w:rsid w:val="00AC5571"/>
    <w:rsid w:val="00AD1094"/>
    <w:rsid w:val="00AD18F4"/>
    <w:rsid w:val="00AD2901"/>
    <w:rsid w:val="00AD2F79"/>
    <w:rsid w:val="00AD3D54"/>
    <w:rsid w:val="00AE00D9"/>
    <w:rsid w:val="00AE1FAE"/>
    <w:rsid w:val="00AE281B"/>
    <w:rsid w:val="00AE3EE8"/>
    <w:rsid w:val="00AE6F29"/>
    <w:rsid w:val="00AF1F37"/>
    <w:rsid w:val="00AF49B0"/>
    <w:rsid w:val="00B00917"/>
    <w:rsid w:val="00B01214"/>
    <w:rsid w:val="00B02848"/>
    <w:rsid w:val="00B035D1"/>
    <w:rsid w:val="00B054B9"/>
    <w:rsid w:val="00B11AC2"/>
    <w:rsid w:val="00B12BD7"/>
    <w:rsid w:val="00B13DC9"/>
    <w:rsid w:val="00B15673"/>
    <w:rsid w:val="00B158E9"/>
    <w:rsid w:val="00B21D3B"/>
    <w:rsid w:val="00B220DC"/>
    <w:rsid w:val="00B221D2"/>
    <w:rsid w:val="00B230E3"/>
    <w:rsid w:val="00B27ABF"/>
    <w:rsid w:val="00B300F0"/>
    <w:rsid w:val="00B34B68"/>
    <w:rsid w:val="00B35591"/>
    <w:rsid w:val="00B3666C"/>
    <w:rsid w:val="00B37E41"/>
    <w:rsid w:val="00B37E7F"/>
    <w:rsid w:val="00B4190D"/>
    <w:rsid w:val="00B45BFB"/>
    <w:rsid w:val="00B45F04"/>
    <w:rsid w:val="00B46A6B"/>
    <w:rsid w:val="00B473AE"/>
    <w:rsid w:val="00B47521"/>
    <w:rsid w:val="00B477A9"/>
    <w:rsid w:val="00B47C4A"/>
    <w:rsid w:val="00B54657"/>
    <w:rsid w:val="00B54E3C"/>
    <w:rsid w:val="00B55B77"/>
    <w:rsid w:val="00B56302"/>
    <w:rsid w:val="00B567C3"/>
    <w:rsid w:val="00B57F44"/>
    <w:rsid w:val="00B6039A"/>
    <w:rsid w:val="00B62C3D"/>
    <w:rsid w:val="00B634C2"/>
    <w:rsid w:val="00B638C4"/>
    <w:rsid w:val="00B66FDF"/>
    <w:rsid w:val="00B744F8"/>
    <w:rsid w:val="00B7485A"/>
    <w:rsid w:val="00B75912"/>
    <w:rsid w:val="00B75A6E"/>
    <w:rsid w:val="00B769EB"/>
    <w:rsid w:val="00B77325"/>
    <w:rsid w:val="00B81531"/>
    <w:rsid w:val="00B8194D"/>
    <w:rsid w:val="00B82E3F"/>
    <w:rsid w:val="00B83E7D"/>
    <w:rsid w:val="00B86620"/>
    <w:rsid w:val="00B909A8"/>
    <w:rsid w:val="00B961BB"/>
    <w:rsid w:val="00B97012"/>
    <w:rsid w:val="00B97855"/>
    <w:rsid w:val="00BA10AC"/>
    <w:rsid w:val="00BA1711"/>
    <w:rsid w:val="00BA2899"/>
    <w:rsid w:val="00BA2C2A"/>
    <w:rsid w:val="00BB049C"/>
    <w:rsid w:val="00BB0916"/>
    <w:rsid w:val="00BB0FC6"/>
    <w:rsid w:val="00BB1F54"/>
    <w:rsid w:val="00BB20A2"/>
    <w:rsid w:val="00BB31D1"/>
    <w:rsid w:val="00BB3369"/>
    <w:rsid w:val="00BB3418"/>
    <w:rsid w:val="00BB55F8"/>
    <w:rsid w:val="00BC2BE5"/>
    <w:rsid w:val="00BC51E1"/>
    <w:rsid w:val="00BC5D68"/>
    <w:rsid w:val="00BD0623"/>
    <w:rsid w:val="00BD1484"/>
    <w:rsid w:val="00BD2894"/>
    <w:rsid w:val="00BD29F3"/>
    <w:rsid w:val="00BD3538"/>
    <w:rsid w:val="00BE03BB"/>
    <w:rsid w:val="00BE1400"/>
    <w:rsid w:val="00BE1FFE"/>
    <w:rsid w:val="00BE33A3"/>
    <w:rsid w:val="00BE3D74"/>
    <w:rsid w:val="00BE4302"/>
    <w:rsid w:val="00BE492C"/>
    <w:rsid w:val="00BE5783"/>
    <w:rsid w:val="00BE5ADB"/>
    <w:rsid w:val="00BF1417"/>
    <w:rsid w:val="00BF3AD5"/>
    <w:rsid w:val="00BF6E7D"/>
    <w:rsid w:val="00BF6F74"/>
    <w:rsid w:val="00BF7380"/>
    <w:rsid w:val="00BF7636"/>
    <w:rsid w:val="00C0216A"/>
    <w:rsid w:val="00C022EE"/>
    <w:rsid w:val="00C0307F"/>
    <w:rsid w:val="00C036BA"/>
    <w:rsid w:val="00C039D4"/>
    <w:rsid w:val="00C03B26"/>
    <w:rsid w:val="00C03BCF"/>
    <w:rsid w:val="00C040EA"/>
    <w:rsid w:val="00C04CAD"/>
    <w:rsid w:val="00C04E88"/>
    <w:rsid w:val="00C052A1"/>
    <w:rsid w:val="00C057A2"/>
    <w:rsid w:val="00C0618E"/>
    <w:rsid w:val="00C12550"/>
    <w:rsid w:val="00C14776"/>
    <w:rsid w:val="00C17FB6"/>
    <w:rsid w:val="00C20F83"/>
    <w:rsid w:val="00C22138"/>
    <w:rsid w:val="00C22970"/>
    <w:rsid w:val="00C25502"/>
    <w:rsid w:val="00C25999"/>
    <w:rsid w:val="00C27BA5"/>
    <w:rsid w:val="00C319AC"/>
    <w:rsid w:val="00C33545"/>
    <w:rsid w:val="00C354B7"/>
    <w:rsid w:val="00C37451"/>
    <w:rsid w:val="00C4446A"/>
    <w:rsid w:val="00C44C6E"/>
    <w:rsid w:val="00C45710"/>
    <w:rsid w:val="00C50825"/>
    <w:rsid w:val="00C520C9"/>
    <w:rsid w:val="00C53BD6"/>
    <w:rsid w:val="00C53EEB"/>
    <w:rsid w:val="00C57C25"/>
    <w:rsid w:val="00C609C4"/>
    <w:rsid w:val="00C61470"/>
    <w:rsid w:val="00C614FA"/>
    <w:rsid w:val="00C62515"/>
    <w:rsid w:val="00C62D80"/>
    <w:rsid w:val="00C63A0C"/>
    <w:rsid w:val="00C64624"/>
    <w:rsid w:val="00C657F9"/>
    <w:rsid w:val="00C66584"/>
    <w:rsid w:val="00C67717"/>
    <w:rsid w:val="00C7006B"/>
    <w:rsid w:val="00C701A7"/>
    <w:rsid w:val="00C70344"/>
    <w:rsid w:val="00C715ED"/>
    <w:rsid w:val="00C72A63"/>
    <w:rsid w:val="00C72E1E"/>
    <w:rsid w:val="00C74DF9"/>
    <w:rsid w:val="00C75DF4"/>
    <w:rsid w:val="00C76E40"/>
    <w:rsid w:val="00C829B8"/>
    <w:rsid w:val="00C83DA2"/>
    <w:rsid w:val="00C841B5"/>
    <w:rsid w:val="00C84B4A"/>
    <w:rsid w:val="00C864FD"/>
    <w:rsid w:val="00C87716"/>
    <w:rsid w:val="00C900FD"/>
    <w:rsid w:val="00C91431"/>
    <w:rsid w:val="00C91C8A"/>
    <w:rsid w:val="00C93A66"/>
    <w:rsid w:val="00C93AC4"/>
    <w:rsid w:val="00C94847"/>
    <w:rsid w:val="00C95547"/>
    <w:rsid w:val="00CA06B0"/>
    <w:rsid w:val="00CA0727"/>
    <w:rsid w:val="00CA2747"/>
    <w:rsid w:val="00CA5205"/>
    <w:rsid w:val="00CA7157"/>
    <w:rsid w:val="00CB1F46"/>
    <w:rsid w:val="00CB26AA"/>
    <w:rsid w:val="00CB2EA0"/>
    <w:rsid w:val="00CB4DA6"/>
    <w:rsid w:val="00CB65B3"/>
    <w:rsid w:val="00CB6712"/>
    <w:rsid w:val="00CB680E"/>
    <w:rsid w:val="00CB7DDF"/>
    <w:rsid w:val="00CC1022"/>
    <w:rsid w:val="00CC2626"/>
    <w:rsid w:val="00CC2D5A"/>
    <w:rsid w:val="00CC2FBE"/>
    <w:rsid w:val="00CC350C"/>
    <w:rsid w:val="00CC6F70"/>
    <w:rsid w:val="00CD23E6"/>
    <w:rsid w:val="00CD292D"/>
    <w:rsid w:val="00CD4A74"/>
    <w:rsid w:val="00CD55FB"/>
    <w:rsid w:val="00CD5E0C"/>
    <w:rsid w:val="00CE0A06"/>
    <w:rsid w:val="00CE19FA"/>
    <w:rsid w:val="00CE5A92"/>
    <w:rsid w:val="00CF0661"/>
    <w:rsid w:val="00CF07D0"/>
    <w:rsid w:val="00CF0933"/>
    <w:rsid w:val="00CF3015"/>
    <w:rsid w:val="00D013AB"/>
    <w:rsid w:val="00D025E1"/>
    <w:rsid w:val="00D02E1B"/>
    <w:rsid w:val="00D0456C"/>
    <w:rsid w:val="00D060F2"/>
    <w:rsid w:val="00D0774D"/>
    <w:rsid w:val="00D10020"/>
    <w:rsid w:val="00D10F6B"/>
    <w:rsid w:val="00D11C8D"/>
    <w:rsid w:val="00D122E3"/>
    <w:rsid w:val="00D12466"/>
    <w:rsid w:val="00D13085"/>
    <w:rsid w:val="00D143F1"/>
    <w:rsid w:val="00D16565"/>
    <w:rsid w:val="00D1673C"/>
    <w:rsid w:val="00D17A83"/>
    <w:rsid w:val="00D20FD0"/>
    <w:rsid w:val="00D21717"/>
    <w:rsid w:val="00D236D3"/>
    <w:rsid w:val="00D245FC"/>
    <w:rsid w:val="00D24C8C"/>
    <w:rsid w:val="00D313F3"/>
    <w:rsid w:val="00D3240A"/>
    <w:rsid w:val="00D32918"/>
    <w:rsid w:val="00D35B6C"/>
    <w:rsid w:val="00D368F1"/>
    <w:rsid w:val="00D36BF9"/>
    <w:rsid w:val="00D40156"/>
    <w:rsid w:val="00D40465"/>
    <w:rsid w:val="00D404A5"/>
    <w:rsid w:val="00D4159C"/>
    <w:rsid w:val="00D47093"/>
    <w:rsid w:val="00D50B94"/>
    <w:rsid w:val="00D52AD4"/>
    <w:rsid w:val="00D52D5B"/>
    <w:rsid w:val="00D534B9"/>
    <w:rsid w:val="00D56CBB"/>
    <w:rsid w:val="00D57568"/>
    <w:rsid w:val="00D602D3"/>
    <w:rsid w:val="00D60575"/>
    <w:rsid w:val="00D6148C"/>
    <w:rsid w:val="00D646EE"/>
    <w:rsid w:val="00D6702E"/>
    <w:rsid w:val="00D71916"/>
    <w:rsid w:val="00D71C5E"/>
    <w:rsid w:val="00D7386A"/>
    <w:rsid w:val="00D74ACF"/>
    <w:rsid w:val="00D7795C"/>
    <w:rsid w:val="00D81AC5"/>
    <w:rsid w:val="00D82356"/>
    <w:rsid w:val="00D82D53"/>
    <w:rsid w:val="00D83641"/>
    <w:rsid w:val="00D8413F"/>
    <w:rsid w:val="00D86219"/>
    <w:rsid w:val="00D86A30"/>
    <w:rsid w:val="00D87B02"/>
    <w:rsid w:val="00D904FE"/>
    <w:rsid w:val="00D9203D"/>
    <w:rsid w:val="00D96921"/>
    <w:rsid w:val="00D979A5"/>
    <w:rsid w:val="00DA00A0"/>
    <w:rsid w:val="00DA176E"/>
    <w:rsid w:val="00DA1F21"/>
    <w:rsid w:val="00DA2C00"/>
    <w:rsid w:val="00DA3E51"/>
    <w:rsid w:val="00DA3FD6"/>
    <w:rsid w:val="00DA5126"/>
    <w:rsid w:val="00DA7679"/>
    <w:rsid w:val="00DB1C6B"/>
    <w:rsid w:val="00DB334E"/>
    <w:rsid w:val="00DB36F4"/>
    <w:rsid w:val="00DB433E"/>
    <w:rsid w:val="00DB4B1E"/>
    <w:rsid w:val="00DB61A5"/>
    <w:rsid w:val="00DB7440"/>
    <w:rsid w:val="00DB7CC5"/>
    <w:rsid w:val="00DC001D"/>
    <w:rsid w:val="00DC0319"/>
    <w:rsid w:val="00DC1E9D"/>
    <w:rsid w:val="00DC1F08"/>
    <w:rsid w:val="00DC3179"/>
    <w:rsid w:val="00DC4875"/>
    <w:rsid w:val="00DC58B5"/>
    <w:rsid w:val="00DC5FAD"/>
    <w:rsid w:val="00DC6000"/>
    <w:rsid w:val="00DD620E"/>
    <w:rsid w:val="00DD6B14"/>
    <w:rsid w:val="00DE030C"/>
    <w:rsid w:val="00DE16CA"/>
    <w:rsid w:val="00DE2119"/>
    <w:rsid w:val="00DE2566"/>
    <w:rsid w:val="00DE4E11"/>
    <w:rsid w:val="00DE5BF3"/>
    <w:rsid w:val="00DF0EF7"/>
    <w:rsid w:val="00DF1F87"/>
    <w:rsid w:val="00DF4D17"/>
    <w:rsid w:val="00DF6A7E"/>
    <w:rsid w:val="00DF70F2"/>
    <w:rsid w:val="00DF7205"/>
    <w:rsid w:val="00DF75ED"/>
    <w:rsid w:val="00DF781C"/>
    <w:rsid w:val="00E01763"/>
    <w:rsid w:val="00E01DC6"/>
    <w:rsid w:val="00E06955"/>
    <w:rsid w:val="00E0770B"/>
    <w:rsid w:val="00E077BC"/>
    <w:rsid w:val="00E1094C"/>
    <w:rsid w:val="00E13643"/>
    <w:rsid w:val="00E14150"/>
    <w:rsid w:val="00E162FF"/>
    <w:rsid w:val="00E16453"/>
    <w:rsid w:val="00E16CA1"/>
    <w:rsid w:val="00E2155A"/>
    <w:rsid w:val="00E22298"/>
    <w:rsid w:val="00E224AC"/>
    <w:rsid w:val="00E22E78"/>
    <w:rsid w:val="00E2329A"/>
    <w:rsid w:val="00E26DBA"/>
    <w:rsid w:val="00E30DB9"/>
    <w:rsid w:val="00E31936"/>
    <w:rsid w:val="00E31E46"/>
    <w:rsid w:val="00E326BE"/>
    <w:rsid w:val="00E33632"/>
    <w:rsid w:val="00E35F3B"/>
    <w:rsid w:val="00E36696"/>
    <w:rsid w:val="00E373B7"/>
    <w:rsid w:val="00E37C9F"/>
    <w:rsid w:val="00E40AAD"/>
    <w:rsid w:val="00E40E3F"/>
    <w:rsid w:val="00E41281"/>
    <w:rsid w:val="00E41EC2"/>
    <w:rsid w:val="00E43172"/>
    <w:rsid w:val="00E44525"/>
    <w:rsid w:val="00E45947"/>
    <w:rsid w:val="00E479C8"/>
    <w:rsid w:val="00E47A2D"/>
    <w:rsid w:val="00E50F13"/>
    <w:rsid w:val="00E51E13"/>
    <w:rsid w:val="00E523FA"/>
    <w:rsid w:val="00E53C10"/>
    <w:rsid w:val="00E55564"/>
    <w:rsid w:val="00E55D44"/>
    <w:rsid w:val="00E55EF0"/>
    <w:rsid w:val="00E57D91"/>
    <w:rsid w:val="00E62392"/>
    <w:rsid w:val="00E62C31"/>
    <w:rsid w:val="00E70050"/>
    <w:rsid w:val="00E700CD"/>
    <w:rsid w:val="00E72B9D"/>
    <w:rsid w:val="00E756D5"/>
    <w:rsid w:val="00E77980"/>
    <w:rsid w:val="00E809DB"/>
    <w:rsid w:val="00E817A1"/>
    <w:rsid w:val="00E81BAC"/>
    <w:rsid w:val="00E829E0"/>
    <w:rsid w:val="00E82D08"/>
    <w:rsid w:val="00E82F6D"/>
    <w:rsid w:val="00E83B3A"/>
    <w:rsid w:val="00E851B4"/>
    <w:rsid w:val="00E8536D"/>
    <w:rsid w:val="00E85C5D"/>
    <w:rsid w:val="00E85EBC"/>
    <w:rsid w:val="00E9004A"/>
    <w:rsid w:val="00E92D89"/>
    <w:rsid w:val="00E957AE"/>
    <w:rsid w:val="00E97520"/>
    <w:rsid w:val="00E97BE6"/>
    <w:rsid w:val="00EA0330"/>
    <w:rsid w:val="00EA310A"/>
    <w:rsid w:val="00EA3F01"/>
    <w:rsid w:val="00EA7CDC"/>
    <w:rsid w:val="00EB01B4"/>
    <w:rsid w:val="00EB14D7"/>
    <w:rsid w:val="00EB1909"/>
    <w:rsid w:val="00EB2837"/>
    <w:rsid w:val="00EB2A31"/>
    <w:rsid w:val="00EB3DD7"/>
    <w:rsid w:val="00EB6B1A"/>
    <w:rsid w:val="00EB7017"/>
    <w:rsid w:val="00EC210D"/>
    <w:rsid w:val="00EC2AC7"/>
    <w:rsid w:val="00EC77C7"/>
    <w:rsid w:val="00ED10A1"/>
    <w:rsid w:val="00ED1C48"/>
    <w:rsid w:val="00ED2A76"/>
    <w:rsid w:val="00ED457C"/>
    <w:rsid w:val="00ED7860"/>
    <w:rsid w:val="00EE02DB"/>
    <w:rsid w:val="00EE0726"/>
    <w:rsid w:val="00EE1506"/>
    <w:rsid w:val="00EE2436"/>
    <w:rsid w:val="00EE31B8"/>
    <w:rsid w:val="00EE3C20"/>
    <w:rsid w:val="00EE3CBD"/>
    <w:rsid w:val="00EE5BE8"/>
    <w:rsid w:val="00EE6009"/>
    <w:rsid w:val="00EE77B4"/>
    <w:rsid w:val="00EF07E8"/>
    <w:rsid w:val="00EF1A18"/>
    <w:rsid w:val="00EF359E"/>
    <w:rsid w:val="00EF449D"/>
    <w:rsid w:val="00EF6614"/>
    <w:rsid w:val="00EF6B69"/>
    <w:rsid w:val="00F02662"/>
    <w:rsid w:val="00F03465"/>
    <w:rsid w:val="00F046DF"/>
    <w:rsid w:val="00F06089"/>
    <w:rsid w:val="00F06FA7"/>
    <w:rsid w:val="00F11686"/>
    <w:rsid w:val="00F14713"/>
    <w:rsid w:val="00F14C7B"/>
    <w:rsid w:val="00F14CC5"/>
    <w:rsid w:val="00F15582"/>
    <w:rsid w:val="00F15C85"/>
    <w:rsid w:val="00F15F1A"/>
    <w:rsid w:val="00F1601F"/>
    <w:rsid w:val="00F16988"/>
    <w:rsid w:val="00F20471"/>
    <w:rsid w:val="00F21380"/>
    <w:rsid w:val="00F22033"/>
    <w:rsid w:val="00F26869"/>
    <w:rsid w:val="00F271C0"/>
    <w:rsid w:val="00F35128"/>
    <w:rsid w:val="00F3588D"/>
    <w:rsid w:val="00F36C2E"/>
    <w:rsid w:val="00F415CF"/>
    <w:rsid w:val="00F42783"/>
    <w:rsid w:val="00F44A09"/>
    <w:rsid w:val="00F4697B"/>
    <w:rsid w:val="00F46AAD"/>
    <w:rsid w:val="00F502A0"/>
    <w:rsid w:val="00F57D0A"/>
    <w:rsid w:val="00F57F3F"/>
    <w:rsid w:val="00F60747"/>
    <w:rsid w:val="00F607BC"/>
    <w:rsid w:val="00F61E37"/>
    <w:rsid w:val="00F63964"/>
    <w:rsid w:val="00F65E06"/>
    <w:rsid w:val="00F67B68"/>
    <w:rsid w:val="00F71D37"/>
    <w:rsid w:val="00F73FCF"/>
    <w:rsid w:val="00F743CA"/>
    <w:rsid w:val="00F77538"/>
    <w:rsid w:val="00F77DD0"/>
    <w:rsid w:val="00F81EF2"/>
    <w:rsid w:val="00F82EEF"/>
    <w:rsid w:val="00F84D99"/>
    <w:rsid w:val="00F85805"/>
    <w:rsid w:val="00F87242"/>
    <w:rsid w:val="00F87755"/>
    <w:rsid w:val="00F90E29"/>
    <w:rsid w:val="00F9290A"/>
    <w:rsid w:val="00F9504F"/>
    <w:rsid w:val="00F96C81"/>
    <w:rsid w:val="00F96E9A"/>
    <w:rsid w:val="00FA53DC"/>
    <w:rsid w:val="00FA758C"/>
    <w:rsid w:val="00FA7BBB"/>
    <w:rsid w:val="00FB1200"/>
    <w:rsid w:val="00FB2937"/>
    <w:rsid w:val="00FC13C4"/>
    <w:rsid w:val="00FC382F"/>
    <w:rsid w:val="00FC7010"/>
    <w:rsid w:val="00FC71F3"/>
    <w:rsid w:val="00FD04EB"/>
    <w:rsid w:val="00FD0650"/>
    <w:rsid w:val="00FD26C0"/>
    <w:rsid w:val="00FD2780"/>
    <w:rsid w:val="00FD356E"/>
    <w:rsid w:val="00FD3B94"/>
    <w:rsid w:val="00FD3D28"/>
    <w:rsid w:val="00FD3EA9"/>
    <w:rsid w:val="00FD4446"/>
    <w:rsid w:val="00FD720B"/>
    <w:rsid w:val="00FE1C48"/>
    <w:rsid w:val="00FE311E"/>
    <w:rsid w:val="00FE3489"/>
    <w:rsid w:val="00FE4164"/>
    <w:rsid w:val="00FE4BFC"/>
    <w:rsid w:val="00FE5A8F"/>
    <w:rsid w:val="00FE6F68"/>
    <w:rsid w:val="00FE7627"/>
    <w:rsid w:val="00FF2638"/>
    <w:rsid w:val="00FF43E9"/>
    <w:rsid w:val="00FF4CEB"/>
    <w:rsid w:val="00FF4F5F"/>
    <w:rsid w:val="00FF56DC"/>
    <w:rsid w:val="00FF63FE"/>
    <w:rsid w:val="00FF7111"/>
    <w:rsid w:val="00FF778B"/>
    <w:rsid w:val="00FF79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fillcolor="#868686" strokecolor="#868686">
      <v:fill color="#868686"/>
      <v:stroke color="#868686" weight=".05pt"/>
    </o:shapedefaults>
    <o:shapelayout v:ext="edit">
      <o:idmap v:ext="edit" data="2"/>
    </o:shapelayout>
  </w:shapeDefaults>
  <w:decimalSymbol w:val=","/>
  <w:listSeparator w:val=";"/>
  <w14:docId w14:val="68DC9B6E"/>
  <w15:docId w15:val="{57F9E88E-54BD-4C96-A5EE-6523B83C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71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426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9B3BC4"/>
    <w:pPr>
      <w:keepNext/>
      <w:spacing w:before="240" w:after="60" w:line="276" w:lineRule="auto"/>
      <w:outlineLvl w:val="1"/>
    </w:pPr>
    <w:rPr>
      <w:rFonts w:ascii="Cambria" w:hAnsi="Cambria"/>
      <w:b/>
      <w:bCs/>
      <w:i/>
      <w:iCs/>
      <w:sz w:val="28"/>
      <w:szCs w:val="28"/>
      <w:lang w:eastAsia="en-US"/>
    </w:rPr>
  </w:style>
  <w:style w:type="paragraph" w:styleId="Ttulo3">
    <w:name w:val="heading 3"/>
    <w:basedOn w:val="Normal"/>
    <w:next w:val="Normal"/>
    <w:link w:val="Ttulo3Char"/>
    <w:uiPriority w:val="9"/>
    <w:semiHidden/>
    <w:unhideWhenUsed/>
    <w:qFormat/>
    <w:rsid w:val="00FF63FE"/>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C87716"/>
  </w:style>
  <w:style w:type="paragraph" w:styleId="NormalWeb">
    <w:name w:val="Normal (Web)"/>
    <w:aliases w:val="Titulo 3.1.2"/>
    <w:basedOn w:val="Normal"/>
    <w:uiPriority w:val="99"/>
    <w:rsid w:val="009A09B2"/>
    <w:pPr>
      <w:spacing w:before="100" w:beforeAutospacing="1" w:after="100" w:afterAutospacing="1"/>
    </w:pPr>
  </w:style>
  <w:style w:type="paragraph" w:styleId="Textodenotaderodap">
    <w:name w:val="footnote text"/>
    <w:basedOn w:val="Normal"/>
    <w:link w:val="TextodenotaderodapChar"/>
    <w:uiPriority w:val="99"/>
    <w:unhideWhenUsed/>
    <w:rsid w:val="009A09B2"/>
    <w:rPr>
      <w:sz w:val="20"/>
      <w:szCs w:val="20"/>
    </w:rPr>
  </w:style>
  <w:style w:type="character" w:customStyle="1" w:styleId="TextodenotaderodapChar">
    <w:name w:val="Texto de nota de rodapé Char"/>
    <w:basedOn w:val="Fontepargpadro"/>
    <w:link w:val="Textodenotaderodap"/>
    <w:uiPriority w:val="99"/>
    <w:rsid w:val="009A09B2"/>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9A09B2"/>
    <w:rPr>
      <w:vertAlign w:val="superscript"/>
    </w:rPr>
  </w:style>
  <w:style w:type="paragraph" w:styleId="PargrafodaLista">
    <w:name w:val="List Paragraph"/>
    <w:basedOn w:val="Normal"/>
    <w:uiPriority w:val="34"/>
    <w:qFormat/>
    <w:rsid w:val="009A09B2"/>
    <w:pPr>
      <w:spacing w:after="200" w:line="276" w:lineRule="auto"/>
      <w:ind w:left="720"/>
      <w:contextualSpacing/>
    </w:pPr>
    <w:rPr>
      <w:rFonts w:ascii="Calibri" w:eastAsia="Calibri" w:hAnsi="Calibri"/>
      <w:sz w:val="22"/>
      <w:szCs w:val="22"/>
      <w:lang w:val="en-US" w:eastAsia="en-US"/>
    </w:rPr>
  </w:style>
  <w:style w:type="character" w:styleId="Hyperlink">
    <w:name w:val="Hyperlink"/>
    <w:uiPriority w:val="99"/>
    <w:rsid w:val="009A09B2"/>
    <w:rPr>
      <w:color w:val="0000FF"/>
      <w:u w:val="single"/>
    </w:rPr>
  </w:style>
  <w:style w:type="paragraph" w:styleId="Cabealho">
    <w:name w:val="header"/>
    <w:basedOn w:val="Normal"/>
    <w:link w:val="CabealhoChar"/>
    <w:uiPriority w:val="99"/>
    <w:unhideWhenUsed/>
    <w:rsid w:val="0050027C"/>
    <w:pPr>
      <w:tabs>
        <w:tab w:val="center" w:pos="4252"/>
        <w:tab w:val="right" w:pos="8504"/>
      </w:tabs>
    </w:pPr>
  </w:style>
  <w:style w:type="character" w:customStyle="1" w:styleId="CabealhoChar">
    <w:name w:val="Cabeçalho Char"/>
    <w:basedOn w:val="Fontepargpadro"/>
    <w:link w:val="Cabealho"/>
    <w:uiPriority w:val="99"/>
    <w:rsid w:val="0050027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0027C"/>
    <w:pPr>
      <w:tabs>
        <w:tab w:val="center" w:pos="4252"/>
        <w:tab w:val="right" w:pos="8504"/>
      </w:tabs>
    </w:pPr>
  </w:style>
  <w:style w:type="character" w:customStyle="1" w:styleId="RodapChar">
    <w:name w:val="Rodapé Char"/>
    <w:basedOn w:val="Fontepargpadro"/>
    <w:link w:val="Rodap"/>
    <w:uiPriority w:val="99"/>
    <w:rsid w:val="0050027C"/>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E82D08"/>
    <w:pPr>
      <w:spacing w:line="360" w:lineRule="auto"/>
      <w:jc w:val="both"/>
    </w:pPr>
    <w:rPr>
      <w:rFonts w:ascii="Arial" w:hAnsi="Arial"/>
      <w:szCs w:val="20"/>
    </w:rPr>
  </w:style>
  <w:style w:type="character" w:customStyle="1" w:styleId="CorpodetextoChar">
    <w:name w:val="Corpo de texto Char"/>
    <w:basedOn w:val="Fontepargpadro"/>
    <w:link w:val="Corpodetexto"/>
    <w:rsid w:val="00E82D08"/>
    <w:rPr>
      <w:rFonts w:ascii="Arial" w:eastAsia="Times New Roman" w:hAnsi="Arial" w:cs="Times New Roman"/>
      <w:sz w:val="24"/>
      <w:szCs w:val="20"/>
      <w:lang w:eastAsia="pt-BR"/>
    </w:rPr>
  </w:style>
  <w:style w:type="paragraph" w:styleId="Textodebalo">
    <w:name w:val="Balloon Text"/>
    <w:basedOn w:val="Normal"/>
    <w:link w:val="TextodebaloChar"/>
    <w:uiPriority w:val="99"/>
    <w:semiHidden/>
    <w:unhideWhenUsed/>
    <w:rsid w:val="00E16CA1"/>
    <w:rPr>
      <w:rFonts w:ascii="Tahoma" w:hAnsi="Tahoma" w:cs="Tahoma"/>
      <w:sz w:val="16"/>
      <w:szCs w:val="16"/>
    </w:rPr>
  </w:style>
  <w:style w:type="character" w:customStyle="1" w:styleId="TextodebaloChar">
    <w:name w:val="Texto de balão Char"/>
    <w:basedOn w:val="Fontepargpadro"/>
    <w:link w:val="Textodebalo"/>
    <w:uiPriority w:val="99"/>
    <w:semiHidden/>
    <w:rsid w:val="00E16CA1"/>
    <w:rPr>
      <w:rFonts w:ascii="Tahoma" w:eastAsia="Times New Roman" w:hAnsi="Tahoma" w:cs="Tahoma"/>
      <w:sz w:val="16"/>
      <w:szCs w:val="16"/>
      <w:lang w:eastAsia="pt-BR"/>
    </w:rPr>
  </w:style>
  <w:style w:type="character" w:customStyle="1" w:styleId="Ttulo1Char">
    <w:name w:val="Título 1 Char"/>
    <w:basedOn w:val="Fontepargpadro"/>
    <w:link w:val="Ttulo1"/>
    <w:rsid w:val="00642623"/>
    <w:rPr>
      <w:rFonts w:asciiTheme="majorHAnsi" w:eastAsiaTheme="majorEastAsia" w:hAnsiTheme="majorHAnsi" w:cstheme="majorBidi"/>
      <w:b/>
      <w:bCs/>
      <w:color w:val="365F91" w:themeColor="accent1" w:themeShade="BF"/>
      <w:sz w:val="28"/>
      <w:szCs w:val="28"/>
      <w:lang w:eastAsia="pt-BR"/>
    </w:rPr>
  </w:style>
  <w:style w:type="paragraph" w:customStyle="1" w:styleId="NormalJustificado">
    <w:name w:val="Normal + Justificado"/>
    <w:aliases w:val="Primeira linha:  1,25 cm,Espaçamento entre linhas:  1,..."/>
    <w:basedOn w:val="Normal"/>
    <w:rsid w:val="00B961BB"/>
    <w:pPr>
      <w:spacing w:line="360" w:lineRule="auto"/>
    </w:pPr>
  </w:style>
  <w:style w:type="character" w:customStyle="1" w:styleId="longtext">
    <w:name w:val="long_text"/>
    <w:basedOn w:val="Fontepargpadro"/>
    <w:rsid w:val="00B961BB"/>
  </w:style>
  <w:style w:type="paragraph" w:styleId="Corpodetexto2">
    <w:name w:val="Body Text 2"/>
    <w:basedOn w:val="Normal"/>
    <w:link w:val="Corpodetexto2Char"/>
    <w:rsid w:val="00B961BB"/>
    <w:pPr>
      <w:spacing w:after="120" w:line="480" w:lineRule="auto"/>
    </w:pPr>
  </w:style>
  <w:style w:type="character" w:customStyle="1" w:styleId="Corpodetexto2Char">
    <w:name w:val="Corpo de texto 2 Char"/>
    <w:basedOn w:val="Fontepargpadro"/>
    <w:link w:val="Corpodetexto2"/>
    <w:rsid w:val="00B961BB"/>
    <w:rPr>
      <w:rFonts w:ascii="Times New Roman" w:eastAsia="Times New Roman" w:hAnsi="Times New Roman" w:cs="Times New Roman"/>
      <w:sz w:val="24"/>
      <w:szCs w:val="24"/>
    </w:rPr>
  </w:style>
  <w:style w:type="table" w:styleId="Tabelacomgrade">
    <w:name w:val="Table Grid"/>
    <w:basedOn w:val="Tabelanormal"/>
    <w:uiPriority w:val="39"/>
    <w:rsid w:val="003D2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1B5345"/>
    <w:rPr>
      <w:sz w:val="16"/>
      <w:szCs w:val="16"/>
    </w:rPr>
  </w:style>
  <w:style w:type="paragraph" w:styleId="Textodecomentrio">
    <w:name w:val="annotation text"/>
    <w:basedOn w:val="Normal"/>
    <w:link w:val="TextodecomentrioChar"/>
    <w:uiPriority w:val="99"/>
    <w:unhideWhenUsed/>
    <w:rsid w:val="001B5345"/>
    <w:rPr>
      <w:sz w:val="20"/>
      <w:szCs w:val="20"/>
    </w:rPr>
  </w:style>
  <w:style w:type="character" w:customStyle="1" w:styleId="TextodecomentrioChar">
    <w:name w:val="Texto de comentário Char"/>
    <w:basedOn w:val="Fontepargpadro"/>
    <w:link w:val="Textodecomentrio"/>
    <w:uiPriority w:val="99"/>
    <w:rsid w:val="001B5345"/>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1B5345"/>
    <w:rPr>
      <w:b/>
      <w:bCs/>
    </w:rPr>
  </w:style>
  <w:style w:type="character" w:customStyle="1" w:styleId="AssuntodocomentrioChar">
    <w:name w:val="Assunto do comentário Char"/>
    <w:basedOn w:val="TextodecomentrioChar"/>
    <w:link w:val="Assuntodocomentrio"/>
    <w:uiPriority w:val="99"/>
    <w:semiHidden/>
    <w:rsid w:val="001B5345"/>
    <w:rPr>
      <w:rFonts w:ascii="Times New Roman" w:eastAsia="Times New Roman" w:hAnsi="Times New Roman" w:cs="Times New Roman"/>
      <w:b/>
      <w:bCs/>
      <w:sz w:val="20"/>
      <w:szCs w:val="20"/>
      <w:lang w:eastAsia="pt-BR"/>
    </w:rPr>
  </w:style>
  <w:style w:type="character" w:customStyle="1" w:styleId="st">
    <w:name w:val="st"/>
    <w:basedOn w:val="Fontepargpadro"/>
    <w:rsid w:val="0088469A"/>
  </w:style>
  <w:style w:type="character" w:customStyle="1" w:styleId="st1">
    <w:name w:val="st1"/>
    <w:basedOn w:val="Fontepargpadro"/>
    <w:rsid w:val="009E1B9D"/>
  </w:style>
  <w:style w:type="character" w:customStyle="1" w:styleId="shorttext">
    <w:name w:val="short_text"/>
    <w:basedOn w:val="Fontepargpadro"/>
    <w:rsid w:val="009B3BC4"/>
  </w:style>
  <w:style w:type="character" w:customStyle="1" w:styleId="Ttulo2Char">
    <w:name w:val="Título 2 Char"/>
    <w:basedOn w:val="Fontepargpadro"/>
    <w:link w:val="Ttulo2"/>
    <w:rsid w:val="009B3BC4"/>
    <w:rPr>
      <w:rFonts w:ascii="Cambria" w:eastAsia="Times New Roman" w:hAnsi="Cambria" w:cs="Times New Roman"/>
      <w:b/>
      <w:bCs/>
      <w:i/>
      <w:iCs/>
      <w:sz w:val="28"/>
      <w:szCs w:val="28"/>
    </w:rPr>
  </w:style>
  <w:style w:type="paragraph" w:customStyle="1" w:styleId="Default">
    <w:name w:val="Default"/>
    <w:link w:val="DefaultChar"/>
    <w:rsid w:val="001368FB"/>
    <w:pPr>
      <w:autoSpaceDE w:val="0"/>
      <w:autoSpaceDN w:val="0"/>
      <w:adjustRightInd w:val="0"/>
      <w:spacing w:after="0" w:line="240" w:lineRule="auto"/>
    </w:pPr>
    <w:rPr>
      <w:rFonts w:ascii="Arial" w:eastAsia="Calibri" w:hAnsi="Arial" w:cs="Arial"/>
      <w:color w:val="000000"/>
      <w:sz w:val="24"/>
      <w:szCs w:val="24"/>
    </w:rPr>
  </w:style>
  <w:style w:type="paragraph" w:styleId="Legenda">
    <w:name w:val="caption"/>
    <w:basedOn w:val="Normal"/>
    <w:next w:val="Normal"/>
    <w:uiPriority w:val="35"/>
    <w:qFormat/>
    <w:rsid w:val="007517DE"/>
    <w:rPr>
      <w:b/>
      <w:bCs/>
      <w:sz w:val="20"/>
      <w:szCs w:val="20"/>
    </w:rPr>
  </w:style>
  <w:style w:type="character" w:customStyle="1" w:styleId="titulo">
    <w:name w:val="titulo"/>
    <w:basedOn w:val="Fontepargpadro"/>
    <w:rsid w:val="005D6B58"/>
  </w:style>
  <w:style w:type="character" w:styleId="nfase">
    <w:name w:val="Emphasis"/>
    <w:uiPriority w:val="20"/>
    <w:qFormat/>
    <w:rsid w:val="005D6B58"/>
    <w:rPr>
      <w:i/>
      <w:iCs/>
    </w:rPr>
  </w:style>
  <w:style w:type="paragraph" w:styleId="Sumrio1">
    <w:name w:val="toc 1"/>
    <w:basedOn w:val="Normal"/>
    <w:next w:val="Normal"/>
    <w:autoRedefine/>
    <w:uiPriority w:val="39"/>
    <w:unhideWhenUsed/>
    <w:rsid w:val="006524E3"/>
    <w:pPr>
      <w:tabs>
        <w:tab w:val="right" w:leader="dot" w:pos="9061"/>
      </w:tabs>
      <w:suppressAutoHyphens/>
    </w:pPr>
    <w:rPr>
      <w:noProof/>
      <w:lang w:eastAsia="ar-SA"/>
    </w:rPr>
  </w:style>
  <w:style w:type="paragraph" w:styleId="SemEspaamento">
    <w:name w:val="No Spacing"/>
    <w:uiPriority w:val="1"/>
    <w:qFormat/>
    <w:rsid w:val="001E1275"/>
    <w:pPr>
      <w:spacing w:after="0" w:line="240" w:lineRule="auto"/>
    </w:pPr>
    <w:rPr>
      <w:rFonts w:ascii="Calibri" w:eastAsia="Calibri" w:hAnsi="Calibri" w:cs="Times New Roman"/>
    </w:rPr>
  </w:style>
  <w:style w:type="character" w:styleId="Forte">
    <w:name w:val="Strong"/>
    <w:uiPriority w:val="22"/>
    <w:qFormat/>
    <w:rsid w:val="001E1275"/>
    <w:rPr>
      <w:b/>
      <w:bCs/>
    </w:rPr>
  </w:style>
  <w:style w:type="character" w:customStyle="1" w:styleId="apple-converted-space">
    <w:name w:val="apple-converted-space"/>
    <w:basedOn w:val="Fontepargpadro"/>
    <w:rsid w:val="001E1275"/>
  </w:style>
  <w:style w:type="table" w:customStyle="1" w:styleId="Estilo2">
    <w:name w:val="Estilo2"/>
    <w:basedOn w:val="Tabelanormal"/>
    <w:uiPriority w:val="99"/>
    <w:qFormat/>
    <w:rsid w:val="00851851"/>
    <w:pPr>
      <w:spacing w:after="0" w:line="240" w:lineRule="auto"/>
    </w:pPr>
    <w:rPr>
      <w:rFonts w:ascii="Calibri" w:eastAsia="Calibri" w:hAnsi="Calibri" w:cs="Times New Roman"/>
      <w:sz w:val="20"/>
      <w:szCs w:val="20"/>
      <w:lang w:eastAsia="pt-BR"/>
    </w:rPr>
    <w:tblPr/>
  </w:style>
  <w:style w:type="paragraph" w:styleId="Recuodecorpodetexto">
    <w:name w:val="Body Text Indent"/>
    <w:basedOn w:val="Normal"/>
    <w:link w:val="RecuodecorpodetextoChar"/>
    <w:uiPriority w:val="99"/>
    <w:unhideWhenUsed/>
    <w:rsid w:val="00350A34"/>
    <w:pPr>
      <w:spacing w:after="120"/>
      <w:ind w:left="283"/>
    </w:pPr>
    <w:rPr>
      <w:sz w:val="20"/>
      <w:szCs w:val="20"/>
    </w:rPr>
  </w:style>
  <w:style w:type="character" w:customStyle="1" w:styleId="RecuodecorpodetextoChar">
    <w:name w:val="Recuo de corpo de texto Char"/>
    <w:basedOn w:val="Fontepargpadro"/>
    <w:link w:val="Recuodecorpodetexto"/>
    <w:uiPriority w:val="99"/>
    <w:rsid w:val="00350A34"/>
    <w:rPr>
      <w:rFonts w:ascii="Times New Roman" w:eastAsia="Times New Roman" w:hAnsi="Times New Roman" w:cs="Times New Roman"/>
      <w:sz w:val="20"/>
      <w:szCs w:val="20"/>
      <w:lang w:eastAsia="pt-BR"/>
    </w:rPr>
  </w:style>
  <w:style w:type="character" w:customStyle="1" w:styleId="A12">
    <w:name w:val="A12"/>
    <w:uiPriority w:val="99"/>
    <w:rsid w:val="00350A34"/>
    <w:rPr>
      <w:rFonts w:cs="Garamond 3 LT Std"/>
      <w:color w:val="000000"/>
      <w:sz w:val="13"/>
      <w:szCs w:val="13"/>
    </w:rPr>
  </w:style>
  <w:style w:type="character" w:customStyle="1" w:styleId="DefaultChar">
    <w:name w:val="Default Char"/>
    <w:link w:val="Default"/>
    <w:rsid w:val="00DF781C"/>
    <w:rPr>
      <w:rFonts w:ascii="Arial" w:eastAsia="Calibri" w:hAnsi="Arial" w:cs="Arial"/>
      <w:color w:val="000000"/>
      <w:sz w:val="24"/>
      <w:szCs w:val="24"/>
    </w:rPr>
  </w:style>
  <w:style w:type="paragraph" w:styleId="Recuodecorpodetexto3">
    <w:name w:val="Body Text Indent 3"/>
    <w:basedOn w:val="Normal"/>
    <w:link w:val="Recuodecorpodetexto3Char"/>
    <w:rsid w:val="00027758"/>
    <w:pPr>
      <w:spacing w:after="120"/>
      <w:ind w:left="283"/>
    </w:pPr>
    <w:rPr>
      <w:sz w:val="16"/>
      <w:szCs w:val="16"/>
    </w:rPr>
  </w:style>
  <w:style w:type="character" w:customStyle="1" w:styleId="Recuodecorpodetexto3Char">
    <w:name w:val="Recuo de corpo de texto 3 Char"/>
    <w:basedOn w:val="Fontepargpadro"/>
    <w:link w:val="Recuodecorpodetexto3"/>
    <w:rsid w:val="00027758"/>
    <w:rPr>
      <w:rFonts w:ascii="Times New Roman" w:eastAsia="Times New Roman" w:hAnsi="Times New Roman" w:cs="Times New Roman"/>
      <w:sz w:val="16"/>
      <w:szCs w:val="16"/>
      <w:lang w:eastAsia="pt-BR"/>
    </w:rPr>
  </w:style>
  <w:style w:type="character" w:customStyle="1" w:styleId="highlight">
    <w:name w:val="highlight"/>
    <w:basedOn w:val="Fontepargpadro"/>
    <w:rsid w:val="00F743CA"/>
  </w:style>
  <w:style w:type="paragraph" w:styleId="Textodenotadefim">
    <w:name w:val="endnote text"/>
    <w:basedOn w:val="Normal"/>
    <w:link w:val="TextodenotadefimChar"/>
    <w:uiPriority w:val="99"/>
    <w:semiHidden/>
    <w:unhideWhenUsed/>
    <w:rsid w:val="00ED2A76"/>
    <w:rPr>
      <w:sz w:val="20"/>
      <w:szCs w:val="20"/>
    </w:rPr>
  </w:style>
  <w:style w:type="character" w:customStyle="1" w:styleId="TextodenotadefimChar">
    <w:name w:val="Texto de nota de fim Char"/>
    <w:basedOn w:val="Fontepargpadro"/>
    <w:link w:val="Textodenotadefim"/>
    <w:uiPriority w:val="99"/>
    <w:semiHidden/>
    <w:rsid w:val="00ED2A76"/>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ED2A76"/>
    <w:rPr>
      <w:vertAlign w:val="superscript"/>
    </w:rPr>
  </w:style>
  <w:style w:type="character" w:customStyle="1" w:styleId="Ttulo3Char">
    <w:name w:val="Título 3 Char"/>
    <w:basedOn w:val="Fontepargpadro"/>
    <w:link w:val="Ttulo3"/>
    <w:uiPriority w:val="9"/>
    <w:semiHidden/>
    <w:rsid w:val="00FF63FE"/>
    <w:rPr>
      <w:rFonts w:asciiTheme="majorHAnsi" w:eastAsiaTheme="majorEastAsia" w:hAnsiTheme="majorHAnsi" w:cstheme="majorBidi"/>
      <w:b/>
      <w:bCs/>
      <w:color w:val="4F81BD" w:themeColor="accent1"/>
      <w:sz w:val="24"/>
      <w:szCs w:val="24"/>
      <w:lang w:eastAsia="pt-BR"/>
    </w:rPr>
  </w:style>
  <w:style w:type="paragraph" w:customStyle="1" w:styleId="Inter-listadereferncias">
    <w:name w:val="Inter - lista de referências"/>
    <w:basedOn w:val="Normal"/>
    <w:rsid w:val="00FD356E"/>
    <w:pPr>
      <w:widowControl w:val="0"/>
      <w:suppressAutoHyphens/>
      <w:spacing w:before="200" w:after="400"/>
      <w:ind w:left="284" w:hanging="284"/>
      <w:jc w:val="both"/>
    </w:pPr>
    <w:rPr>
      <w:rFonts w:ascii="Arial" w:hAnsi="Arial"/>
      <w:color w:val="000000"/>
      <w:szCs w:val="20"/>
    </w:rPr>
  </w:style>
  <w:style w:type="character" w:customStyle="1" w:styleId="fontstyle01">
    <w:name w:val="fontstyle01"/>
    <w:basedOn w:val="Fontepargpadro"/>
    <w:rsid w:val="002D32D7"/>
    <w:rPr>
      <w:rFonts w:ascii="Source Sans Pro" w:hAnsi="Source Sans Pro" w:hint="default"/>
      <w:b w:val="0"/>
      <w:bCs w:val="0"/>
      <w:i w:val="0"/>
      <w:iCs w:val="0"/>
      <w:color w:val="000000"/>
      <w:sz w:val="22"/>
      <w:szCs w:val="22"/>
    </w:rPr>
  </w:style>
  <w:style w:type="paragraph" w:customStyle="1" w:styleId="Textodecomentrio1">
    <w:name w:val="Texto de comentário1"/>
    <w:basedOn w:val="Normal"/>
    <w:rsid w:val="00F15C85"/>
    <w:pPr>
      <w:suppressAutoHyphens/>
      <w:jc w:val="both"/>
    </w:pPr>
    <w:rPr>
      <w:rFonts w:ascii="Arial" w:hAnsi="Arial" w:cs="Arial"/>
      <w:sz w:val="20"/>
      <w:szCs w:val="20"/>
      <w:lang w:eastAsia="zh-CN"/>
    </w:rPr>
  </w:style>
  <w:style w:type="paragraph" w:customStyle="1" w:styleId="TextosemFormatao2">
    <w:name w:val="Texto sem Formatação2"/>
    <w:basedOn w:val="Normal"/>
    <w:rsid w:val="00D602D3"/>
    <w:pPr>
      <w:suppressAutoHyphens/>
      <w:spacing w:line="360" w:lineRule="auto"/>
      <w:jc w:val="both"/>
    </w:pPr>
    <w:rPr>
      <w:rFonts w:ascii="Courier New" w:hAnsi="Courier New" w:cs="Courier New"/>
      <w:sz w:val="20"/>
      <w:szCs w:val="20"/>
      <w:lang w:eastAsia="zh-CN"/>
    </w:rPr>
  </w:style>
  <w:style w:type="paragraph" w:customStyle="1" w:styleId="TextosemFormatao1">
    <w:name w:val="Texto sem Formatação1"/>
    <w:basedOn w:val="Normal"/>
    <w:rsid w:val="003813C3"/>
    <w:pPr>
      <w:suppressAutoHyphens/>
    </w:pPr>
    <w:rPr>
      <w:rFonts w:ascii="Courier New" w:hAnsi="Courier New" w:cs="Courier New"/>
      <w:sz w:val="20"/>
      <w:lang w:val="hr-HR" w:eastAsia="zh-CN"/>
    </w:rPr>
  </w:style>
  <w:style w:type="character" w:customStyle="1" w:styleId="A3">
    <w:name w:val="A3"/>
    <w:uiPriority w:val="99"/>
    <w:rsid w:val="000D238F"/>
    <w:rPr>
      <w:rFonts w:cs="Garamond"/>
      <w:color w:val="000000"/>
      <w:sz w:val="22"/>
      <w:szCs w:val="22"/>
    </w:rPr>
  </w:style>
  <w:style w:type="paragraph" w:customStyle="1" w:styleId="WW-NormalWeb">
    <w:name w:val="WW-Normal (Web)"/>
    <w:basedOn w:val="Normal"/>
    <w:rsid w:val="00A47F7C"/>
    <w:pPr>
      <w:suppressAutoHyphens/>
      <w:spacing w:before="280" w:after="119"/>
    </w:pPr>
    <w:rPr>
      <w:rFonts w:ascii="Arial Unicode MS" w:eastAsia="Arial Unicode MS" w:hAnsi="Arial Unicode MS" w:cs="Arial Unicode MS"/>
      <w:lang w:eastAsia="ar-SA"/>
    </w:rPr>
  </w:style>
  <w:style w:type="character" w:customStyle="1" w:styleId="ecxst">
    <w:name w:val="ecxst"/>
    <w:rsid w:val="00A47F7C"/>
  </w:style>
  <w:style w:type="paragraph" w:styleId="Sumrio3">
    <w:name w:val="toc 3"/>
    <w:basedOn w:val="Normal"/>
    <w:next w:val="Normal"/>
    <w:autoRedefine/>
    <w:uiPriority w:val="39"/>
    <w:unhideWhenUsed/>
    <w:rsid w:val="00273751"/>
    <w:pPr>
      <w:suppressAutoHyphens/>
      <w:spacing w:after="100"/>
      <w:ind w:left="480"/>
    </w:pPr>
    <w:rPr>
      <w:rFonts w:ascii="Arial" w:hAnsi="Arial"/>
      <w:lang w:eastAsia="ar-SA"/>
    </w:rPr>
  </w:style>
  <w:style w:type="paragraph" w:styleId="Pr-formataoHTML">
    <w:name w:val="HTML Preformatted"/>
    <w:basedOn w:val="Normal"/>
    <w:link w:val="Pr-formataoHTMLChar"/>
    <w:uiPriority w:val="99"/>
    <w:unhideWhenUsed/>
    <w:rsid w:val="0077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773A82"/>
    <w:rPr>
      <w:rFonts w:ascii="Courier New" w:eastAsia="Times New Roman" w:hAnsi="Courier New" w:cs="Courier New"/>
      <w:sz w:val="20"/>
      <w:szCs w:val="20"/>
      <w:lang w:eastAsia="pt-BR"/>
    </w:rPr>
  </w:style>
  <w:style w:type="character" w:customStyle="1" w:styleId="article-headermeta-info-data">
    <w:name w:val="article-header__meta-info-data"/>
    <w:basedOn w:val="Fontepargpadro"/>
    <w:rsid w:val="00E37C9F"/>
  </w:style>
  <w:style w:type="character" w:customStyle="1" w:styleId="a">
    <w:name w:val="_"/>
    <w:basedOn w:val="Fontepargpadro"/>
    <w:rsid w:val="00E37C9F"/>
  </w:style>
  <w:style w:type="table" w:customStyle="1" w:styleId="TabelaSimples22">
    <w:name w:val="Tabela Simples 22"/>
    <w:basedOn w:val="Tabelanormal"/>
    <w:uiPriority w:val="42"/>
    <w:rsid w:val="00BD28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9">
    <w:name w:val="A9"/>
    <w:uiPriority w:val="99"/>
    <w:rsid w:val="00FC382F"/>
    <w:rPr>
      <w:rFonts w:cs="Omni"/>
      <w:color w:val="000000"/>
      <w:sz w:val="11"/>
      <w:szCs w:val="11"/>
    </w:rPr>
  </w:style>
  <w:style w:type="paragraph" w:customStyle="1" w:styleId="Inter-pargrafopadro">
    <w:name w:val="Inter - parágrafo padrão"/>
    <w:basedOn w:val="Normal"/>
    <w:rsid w:val="00106D02"/>
    <w:pPr>
      <w:widowControl w:val="0"/>
      <w:suppressAutoHyphens/>
      <w:spacing w:before="119" w:line="360" w:lineRule="auto"/>
      <w:ind w:firstLine="709"/>
      <w:jc w:val="both"/>
    </w:pPr>
    <w:rPr>
      <w:rFonts w:ascii="Arial" w:hAnsi="Arial"/>
      <w:color w:val="000000"/>
      <w:szCs w:val="20"/>
    </w:rPr>
  </w:style>
  <w:style w:type="paragraph" w:customStyle="1" w:styleId="Inter-primeiropargrafodeseo">
    <w:name w:val="Inter - primeiro parágrafo de seção"/>
    <w:basedOn w:val="Inter-pargrafopadro"/>
    <w:next w:val="Inter-pargrafopadro"/>
    <w:rsid w:val="00106D02"/>
    <w:pPr>
      <w:ind w:firstLine="0"/>
    </w:pPr>
  </w:style>
  <w:style w:type="paragraph" w:customStyle="1" w:styleId="Inter-Citaesdeoutrosautores">
    <w:name w:val="Inter - Citações de outros autores"/>
    <w:basedOn w:val="Inter-pargrafopadro"/>
    <w:next w:val="Inter-pargrafopadro"/>
    <w:rsid w:val="00106D02"/>
    <w:pPr>
      <w:suppressAutoHyphens w:val="0"/>
      <w:spacing w:before="232" w:after="119"/>
      <w:ind w:left="2268" w:firstLine="0"/>
    </w:pPr>
    <w:rPr>
      <w:sz w:val="20"/>
    </w:rPr>
  </w:style>
  <w:style w:type="table" w:customStyle="1" w:styleId="TabeladeGrade4-nfase31">
    <w:name w:val="Tabela de Grade 4 - Ênfase 31"/>
    <w:basedOn w:val="Tabelanormal"/>
    <w:uiPriority w:val="49"/>
    <w:rsid w:val="00FD444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short-url">
    <w:name w:val="short-url"/>
    <w:basedOn w:val="Fontepargpadro"/>
    <w:rsid w:val="00FD4446"/>
  </w:style>
  <w:style w:type="character" w:styleId="MenoPendente">
    <w:name w:val="Unresolved Mention"/>
    <w:basedOn w:val="Fontepargpadro"/>
    <w:uiPriority w:val="99"/>
    <w:semiHidden/>
    <w:unhideWhenUsed/>
    <w:rsid w:val="00E83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859400">
      <w:bodyDiv w:val="1"/>
      <w:marLeft w:val="0"/>
      <w:marRight w:val="0"/>
      <w:marTop w:val="0"/>
      <w:marBottom w:val="0"/>
      <w:divBdr>
        <w:top w:val="none" w:sz="0" w:space="0" w:color="auto"/>
        <w:left w:val="none" w:sz="0" w:space="0" w:color="auto"/>
        <w:bottom w:val="none" w:sz="0" w:space="0" w:color="auto"/>
        <w:right w:val="none" w:sz="0" w:space="0" w:color="auto"/>
      </w:divBdr>
    </w:div>
    <w:div w:id="629746219">
      <w:bodyDiv w:val="1"/>
      <w:marLeft w:val="0"/>
      <w:marRight w:val="0"/>
      <w:marTop w:val="0"/>
      <w:marBottom w:val="0"/>
      <w:divBdr>
        <w:top w:val="none" w:sz="0" w:space="0" w:color="auto"/>
        <w:left w:val="none" w:sz="0" w:space="0" w:color="auto"/>
        <w:bottom w:val="none" w:sz="0" w:space="0" w:color="auto"/>
        <w:right w:val="none" w:sz="0" w:space="0" w:color="auto"/>
      </w:divBdr>
    </w:div>
    <w:div w:id="748773242">
      <w:bodyDiv w:val="1"/>
      <w:marLeft w:val="0"/>
      <w:marRight w:val="0"/>
      <w:marTop w:val="0"/>
      <w:marBottom w:val="0"/>
      <w:divBdr>
        <w:top w:val="none" w:sz="0" w:space="0" w:color="auto"/>
        <w:left w:val="none" w:sz="0" w:space="0" w:color="auto"/>
        <w:bottom w:val="none" w:sz="0" w:space="0" w:color="auto"/>
        <w:right w:val="none" w:sz="0" w:space="0" w:color="auto"/>
      </w:divBdr>
    </w:div>
    <w:div w:id="889266959">
      <w:bodyDiv w:val="1"/>
      <w:marLeft w:val="0"/>
      <w:marRight w:val="0"/>
      <w:marTop w:val="0"/>
      <w:marBottom w:val="0"/>
      <w:divBdr>
        <w:top w:val="none" w:sz="0" w:space="0" w:color="auto"/>
        <w:left w:val="none" w:sz="0" w:space="0" w:color="auto"/>
        <w:bottom w:val="none" w:sz="0" w:space="0" w:color="auto"/>
        <w:right w:val="none" w:sz="0" w:space="0" w:color="auto"/>
      </w:divBdr>
    </w:div>
    <w:div w:id="908223882">
      <w:bodyDiv w:val="1"/>
      <w:marLeft w:val="0"/>
      <w:marRight w:val="0"/>
      <w:marTop w:val="0"/>
      <w:marBottom w:val="0"/>
      <w:divBdr>
        <w:top w:val="none" w:sz="0" w:space="0" w:color="auto"/>
        <w:left w:val="none" w:sz="0" w:space="0" w:color="auto"/>
        <w:bottom w:val="none" w:sz="0" w:space="0" w:color="auto"/>
        <w:right w:val="none" w:sz="0" w:space="0" w:color="auto"/>
      </w:divBdr>
    </w:div>
    <w:div w:id="935020908">
      <w:bodyDiv w:val="1"/>
      <w:marLeft w:val="0"/>
      <w:marRight w:val="0"/>
      <w:marTop w:val="0"/>
      <w:marBottom w:val="0"/>
      <w:divBdr>
        <w:top w:val="none" w:sz="0" w:space="0" w:color="auto"/>
        <w:left w:val="none" w:sz="0" w:space="0" w:color="auto"/>
        <w:bottom w:val="none" w:sz="0" w:space="0" w:color="auto"/>
        <w:right w:val="none" w:sz="0" w:space="0" w:color="auto"/>
      </w:divBdr>
      <w:divsChild>
        <w:div w:id="576868002">
          <w:marLeft w:val="0"/>
          <w:marRight w:val="0"/>
          <w:marTop w:val="0"/>
          <w:marBottom w:val="0"/>
          <w:divBdr>
            <w:top w:val="none" w:sz="0" w:space="0" w:color="auto"/>
            <w:left w:val="none" w:sz="0" w:space="0" w:color="auto"/>
            <w:bottom w:val="none" w:sz="0" w:space="0" w:color="auto"/>
            <w:right w:val="none" w:sz="0" w:space="0" w:color="auto"/>
          </w:divBdr>
          <w:divsChild>
            <w:div w:id="591858396">
              <w:marLeft w:val="0"/>
              <w:marRight w:val="60"/>
              <w:marTop w:val="0"/>
              <w:marBottom w:val="0"/>
              <w:divBdr>
                <w:top w:val="none" w:sz="0" w:space="0" w:color="auto"/>
                <w:left w:val="none" w:sz="0" w:space="0" w:color="auto"/>
                <w:bottom w:val="none" w:sz="0" w:space="0" w:color="auto"/>
                <w:right w:val="none" w:sz="0" w:space="0" w:color="auto"/>
              </w:divBdr>
              <w:divsChild>
                <w:div w:id="239561800">
                  <w:marLeft w:val="0"/>
                  <w:marRight w:val="0"/>
                  <w:marTop w:val="0"/>
                  <w:marBottom w:val="120"/>
                  <w:divBdr>
                    <w:top w:val="single" w:sz="6" w:space="0" w:color="A0A0A0"/>
                    <w:left w:val="single" w:sz="6" w:space="0" w:color="B9B9B9"/>
                    <w:bottom w:val="single" w:sz="6" w:space="0" w:color="B9B9B9"/>
                    <w:right w:val="single" w:sz="6" w:space="0" w:color="B9B9B9"/>
                  </w:divBdr>
                  <w:divsChild>
                    <w:div w:id="298267460">
                      <w:marLeft w:val="0"/>
                      <w:marRight w:val="0"/>
                      <w:marTop w:val="0"/>
                      <w:marBottom w:val="0"/>
                      <w:divBdr>
                        <w:top w:val="none" w:sz="0" w:space="0" w:color="auto"/>
                        <w:left w:val="none" w:sz="0" w:space="0" w:color="auto"/>
                        <w:bottom w:val="none" w:sz="0" w:space="0" w:color="auto"/>
                        <w:right w:val="none" w:sz="0" w:space="0" w:color="auto"/>
                      </w:divBdr>
                      <w:divsChild>
                        <w:div w:id="837303798">
                          <w:marLeft w:val="0"/>
                          <w:marRight w:val="0"/>
                          <w:marTop w:val="0"/>
                          <w:marBottom w:val="0"/>
                          <w:divBdr>
                            <w:top w:val="none" w:sz="0" w:space="0" w:color="auto"/>
                            <w:left w:val="none" w:sz="0" w:space="0" w:color="auto"/>
                            <w:bottom w:val="none" w:sz="0" w:space="0" w:color="auto"/>
                            <w:right w:val="none" w:sz="0" w:space="0" w:color="auto"/>
                          </w:divBdr>
                          <w:divsChild>
                            <w:div w:id="1373193469">
                              <w:marLeft w:val="0"/>
                              <w:marRight w:val="0"/>
                              <w:marTop w:val="0"/>
                              <w:marBottom w:val="0"/>
                              <w:divBdr>
                                <w:top w:val="none" w:sz="0" w:space="0" w:color="auto"/>
                                <w:left w:val="none" w:sz="0" w:space="0" w:color="auto"/>
                                <w:bottom w:val="none" w:sz="0" w:space="0" w:color="auto"/>
                                <w:right w:val="none" w:sz="0" w:space="0" w:color="auto"/>
                              </w:divBdr>
                              <w:divsChild>
                                <w:div w:id="10582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8069">
          <w:marLeft w:val="0"/>
          <w:marRight w:val="0"/>
          <w:marTop w:val="0"/>
          <w:marBottom w:val="0"/>
          <w:divBdr>
            <w:top w:val="none" w:sz="0" w:space="0" w:color="auto"/>
            <w:left w:val="none" w:sz="0" w:space="0" w:color="auto"/>
            <w:bottom w:val="none" w:sz="0" w:space="0" w:color="auto"/>
            <w:right w:val="none" w:sz="0" w:space="0" w:color="auto"/>
          </w:divBdr>
          <w:divsChild>
            <w:div w:id="1179268975">
              <w:marLeft w:val="60"/>
              <w:marRight w:val="0"/>
              <w:marTop w:val="0"/>
              <w:marBottom w:val="0"/>
              <w:divBdr>
                <w:top w:val="none" w:sz="0" w:space="0" w:color="auto"/>
                <w:left w:val="none" w:sz="0" w:space="0" w:color="auto"/>
                <w:bottom w:val="none" w:sz="0" w:space="0" w:color="auto"/>
                <w:right w:val="none" w:sz="0" w:space="0" w:color="auto"/>
              </w:divBdr>
              <w:divsChild>
                <w:div w:id="467088319">
                  <w:marLeft w:val="0"/>
                  <w:marRight w:val="0"/>
                  <w:marTop w:val="0"/>
                  <w:marBottom w:val="0"/>
                  <w:divBdr>
                    <w:top w:val="none" w:sz="0" w:space="0" w:color="auto"/>
                    <w:left w:val="none" w:sz="0" w:space="0" w:color="auto"/>
                    <w:bottom w:val="none" w:sz="0" w:space="0" w:color="auto"/>
                    <w:right w:val="none" w:sz="0" w:space="0" w:color="auto"/>
                  </w:divBdr>
                  <w:divsChild>
                    <w:div w:id="2079860789">
                      <w:marLeft w:val="0"/>
                      <w:marRight w:val="0"/>
                      <w:marTop w:val="0"/>
                      <w:marBottom w:val="120"/>
                      <w:divBdr>
                        <w:top w:val="single" w:sz="6" w:space="0" w:color="F5F5F5"/>
                        <w:left w:val="single" w:sz="6" w:space="0" w:color="F5F5F5"/>
                        <w:bottom w:val="single" w:sz="6" w:space="0" w:color="F5F5F5"/>
                        <w:right w:val="single" w:sz="6" w:space="0" w:color="F5F5F5"/>
                      </w:divBdr>
                      <w:divsChild>
                        <w:div w:id="1617374558">
                          <w:marLeft w:val="0"/>
                          <w:marRight w:val="0"/>
                          <w:marTop w:val="0"/>
                          <w:marBottom w:val="0"/>
                          <w:divBdr>
                            <w:top w:val="none" w:sz="0" w:space="0" w:color="auto"/>
                            <w:left w:val="none" w:sz="0" w:space="0" w:color="auto"/>
                            <w:bottom w:val="none" w:sz="0" w:space="0" w:color="auto"/>
                            <w:right w:val="none" w:sz="0" w:space="0" w:color="auto"/>
                          </w:divBdr>
                          <w:divsChild>
                            <w:div w:id="8483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68983">
      <w:bodyDiv w:val="1"/>
      <w:marLeft w:val="0"/>
      <w:marRight w:val="0"/>
      <w:marTop w:val="0"/>
      <w:marBottom w:val="0"/>
      <w:divBdr>
        <w:top w:val="none" w:sz="0" w:space="0" w:color="auto"/>
        <w:left w:val="none" w:sz="0" w:space="0" w:color="auto"/>
        <w:bottom w:val="none" w:sz="0" w:space="0" w:color="auto"/>
        <w:right w:val="none" w:sz="0" w:space="0" w:color="auto"/>
      </w:divBdr>
    </w:div>
    <w:div w:id="1194073317">
      <w:bodyDiv w:val="1"/>
      <w:marLeft w:val="0"/>
      <w:marRight w:val="0"/>
      <w:marTop w:val="0"/>
      <w:marBottom w:val="0"/>
      <w:divBdr>
        <w:top w:val="none" w:sz="0" w:space="0" w:color="auto"/>
        <w:left w:val="none" w:sz="0" w:space="0" w:color="auto"/>
        <w:bottom w:val="none" w:sz="0" w:space="0" w:color="auto"/>
        <w:right w:val="none" w:sz="0" w:space="0" w:color="auto"/>
      </w:divBdr>
    </w:div>
    <w:div w:id="1285766227">
      <w:bodyDiv w:val="1"/>
      <w:marLeft w:val="0"/>
      <w:marRight w:val="0"/>
      <w:marTop w:val="0"/>
      <w:marBottom w:val="0"/>
      <w:divBdr>
        <w:top w:val="none" w:sz="0" w:space="0" w:color="auto"/>
        <w:left w:val="none" w:sz="0" w:space="0" w:color="auto"/>
        <w:bottom w:val="none" w:sz="0" w:space="0" w:color="auto"/>
        <w:right w:val="none" w:sz="0" w:space="0" w:color="auto"/>
      </w:divBdr>
    </w:div>
    <w:div w:id="1442414096">
      <w:bodyDiv w:val="1"/>
      <w:marLeft w:val="0"/>
      <w:marRight w:val="0"/>
      <w:marTop w:val="0"/>
      <w:marBottom w:val="0"/>
      <w:divBdr>
        <w:top w:val="none" w:sz="0" w:space="0" w:color="auto"/>
        <w:left w:val="none" w:sz="0" w:space="0" w:color="auto"/>
        <w:bottom w:val="none" w:sz="0" w:space="0" w:color="auto"/>
        <w:right w:val="none" w:sz="0" w:space="0" w:color="auto"/>
      </w:divBdr>
      <w:divsChild>
        <w:div w:id="760026010">
          <w:marLeft w:val="0"/>
          <w:marRight w:val="0"/>
          <w:marTop w:val="0"/>
          <w:marBottom w:val="0"/>
          <w:divBdr>
            <w:top w:val="none" w:sz="0" w:space="0" w:color="auto"/>
            <w:left w:val="none" w:sz="0" w:space="0" w:color="auto"/>
            <w:bottom w:val="none" w:sz="0" w:space="0" w:color="auto"/>
            <w:right w:val="none" w:sz="0" w:space="0" w:color="auto"/>
          </w:divBdr>
          <w:divsChild>
            <w:div w:id="1660114521">
              <w:marLeft w:val="0"/>
              <w:marRight w:val="60"/>
              <w:marTop w:val="0"/>
              <w:marBottom w:val="0"/>
              <w:divBdr>
                <w:top w:val="none" w:sz="0" w:space="0" w:color="auto"/>
                <w:left w:val="none" w:sz="0" w:space="0" w:color="auto"/>
                <w:bottom w:val="none" w:sz="0" w:space="0" w:color="auto"/>
                <w:right w:val="none" w:sz="0" w:space="0" w:color="auto"/>
              </w:divBdr>
              <w:divsChild>
                <w:div w:id="120079210">
                  <w:marLeft w:val="0"/>
                  <w:marRight w:val="0"/>
                  <w:marTop w:val="0"/>
                  <w:marBottom w:val="120"/>
                  <w:divBdr>
                    <w:top w:val="single" w:sz="6" w:space="0" w:color="A0A0A0"/>
                    <w:left w:val="single" w:sz="6" w:space="0" w:color="B9B9B9"/>
                    <w:bottom w:val="single" w:sz="6" w:space="0" w:color="B9B9B9"/>
                    <w:right w:val="single" w:sz="6" w:space="0" w:color="B9B9B9"/>
                  </w:divBdr>
                  <w:divsChild>
                    <w:div w:id="885415238">
                      <w:marLeft w:val="0"/>
                      <w:marRight w:val="0"/>
                      <w:marTop w:val="0"/>
                      <w:marBottom w:val="0"/>
                      <w:divBdr>
                        <w:top w:val="none" w:sz="0" w:space="0" w:color="auto"/>
                        <w:left w:val="none" w:sz="0" w:space="0" w:color="auto"/>
                        <w:bottom w:val="none" w:sz="0" w:space="0" w:color="auto"/>
                        <w:right w:val="none" w:sz="0" w:space="0" w:color="auto"/>
                      </w:divBdr>
                      <w:divsChild>
                        <w:div w:id="1591424976">
                          <w:marLeft w:val="0"/>
                          <w:marRight w:val="0"/>
                          <w:marTop w:val="0"/>
                          <w:marBottom w:val="0"/>
                          <w:divBdr>
                            <w:top w:val="none" w:sz="0" w:space="0" w:color="auto"/>
                            <w:left w:val="none" w:sz="0" w:space="0" w:color="auto"/>
                            <w:bottom w:val="none" w:sz="0" w:space="0" w:color="auto"/>
                            <w:right w:val="none" w:sz="0" w:space="0" w:color="auto"/>
                          </w:divBdr>
                          <w:divsChild>
                            <w:div w:id="875392347">
                              <w:marLeft w:val="0"/>
                              <w:marRight w:val="0"/>
                              <w:marTop w:val="0"/>
                              <w:marBottom w:val="0"/>
                              <w:divBdr>
                                <w:top w:val="none" w:sz="0" w:space="0" w:color="auto"/>
                                <w:left w:val="none" w:sz="0" w:space="0" w:color="auto"/>
                                <w:bottom w:val="none" w:sz="0" w:space="0" w:color="auto"/>
                                <w:right w:val="none" w:sz="0" w:space="0" w:color="auto"/>
                              </w:divBdr>
                              <w:divsChild>
                                <w:div w:id="1008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90821">
          <w:marLeft w:val="0"/>
          <w:marRight w:val="0"/>
          <w:marTop w:val="0"/>
          <w:marBottom w:val="0"/>
          <w:divBdr>
            <w:top w:val="none" w:sz="0" w:space="0" w:color="auto"/>
            <w:left w:val="none" w:sz="0" w:space="0" w:color="auto"/>
            <w:bottom w:val="none" w:sz="0" w:space="0" w:color="auto"/>
            <w:right w:val="none" w:sz="0" w:space="0" w:color="auto"/>
          </w:divBdr>
          <w:divsChild>
            <w:div w:id="1655646508">
              <w:marLeft w:val="60"/>
              <w:marRight w:val="0"/>
              <w:marTop w:val="0"/>
              <w:marBottom w:val="0"/>
              <w:divBdr>
                <w:top w:val="none" w:sz="0" w:space="0" w:color="auto"/>
                <w:left w:val="none" w:sz="0" w:space="0" w:color="auto"/>
                <w:bottom w:val="none" w:sz="0" w:space="0" w:color="auto"/>
                <w:right w:val="none" w:sz="0" w:space="0" w:color="auto"/>
              </w:divBdr>
              <w:divsChild>
                <w:div w:id="1355224972">
                  <w:marLeft w:val="0"/>
                  <w:marRight w:val="0"/>
                  <w:marTop w:val="0"/>
                  <w:marBottom w:val="0"/>
                  <w:divBdr>
                    <w:top w:val="none" w:sz="0" w:space="0" w:color="auto"/>
                    <w:left w:val="none" w:sz="0" w:space="0" w:color="auto"/>
                    <w:bottom w:val="none" w:sz="0" w:space="0" w:color="auto"/>
                    <w:right w:val="none" w:sz="0" w:space="0" w:color="auto"/>
                  </w:divBdr>
                  <w:divsChild>
                    <w:div w:id="1465538688">
                      <w:marLeft w:val="0"/>
                      <w:marRight w:val="0"/>
                      <w:marTop w:val="0"/>
                      <w:marBottom w:val="120"/>
                      <w:divBdr>
                        <w:top w:val="single" w:sz="6" w:space="0" w:color="F5F5F5"/>
                        <w:left w:val="single" w:sz="6" w:space="0" w:color="F5F5F5"/>
                        <w:bottom w:val="single" w:sz="6" w:space="0" w:color="F5F5F5"/>
                        <w:right w:val="single" w:sz="6" w:space="0" w:color="F5F5F5"/>
                      </w:divBdr>
                      <w:divsChild>
                        <w:div w:id="1378121779">
                          <w:marLeft w:val="0"/>
                          <w:marRight w:val="0"/>
                          <w:marTop w:val="0"/>
                          <w:marBottom w:val="0"/>
                          <w:divBdr>
                            <w:top w:val="none" w:sz="0" w:space="0" w:color="auto"/>
                            <w:left w:val="none" w:sz="0" w:space="0" w:color="auto"/>
                            <w:bottom w:val="none" w:sz="0" w:space="0" w:color="auto"/>
                            <w:right w:val="none" w:sz="0" w:space="0" w:color="auto"/>
                          </w:divBdr>
                          <w:divsChild>
                            <w:div w:id="1904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217442">
      <w:bodyDiv w:val="1"/>
      <w:marLeft w:val="0"/>
      <w:marRight w:val="0"/>
      <w:marTop w:val="0"/>
      <w:marBottom w:val="0"/>
      <w:divBdr>
        <w:top w:val="none" w:sz="0" w:space="0" w:color="auto"/>
        <w:left w:val="none" w:sz="0" w:space="0" w:color="auto"/>
        <w:bottom w:val="none" w:sz="0" w:space="0" w:color="auto"/>
        <w:right w:val="none" w:sz="0" w:space="0" w:color="auto"/>
      </w:divBdr>
    </w:div>
    <w:div w:id="1772357782">
      <w:bodyDiv w:val="1"/>
      <w:marLeft w:val="0"/>
      <w:marRight w:val="0"/>
      <w:marTop w:val="0"/>
      <w:marBottom w:val="0"/>
      <w:divBdr>
        <w:top w:val="none" w:sz="0" w:space="0" w:color="auto"/>
        <w:left w:val="none" w:sz="0" w:space="0" w:color="auto"/>
        <w:bottom w:val="none" w:sz="0" w:space="0" w:color="auto"/>
        <w:right w:val="none" w:sz="0" w:space="0" w:color="auto"/>
      </w:divBdr>
    </w:div>
    <w:div w:id="1797137236">
      <w:bodyDiv w:val="1"/>
      <w:marLeft w:val="0"/>
      <w:marRight w:val="0"/>
      <w:marTop w:val="0"/>
      <w:marBottom w:val="0"/>
      <w:divBdr>
        <w:top w:val="none" w:sz="0" w:space="0" w:color="auto"/>
        <w:left w:val="none" w:sz="0" w:space="0" w:color="auto"/>
        <w:bottom w:val="none" w:sz="0" w:space="0" w:color="auto"/>
        <w:right w:val="none" w:sz="0" w:space="0" w:color="auto"/>
      </w:divBdr>
    </w:div>
    <w:div w:id="1940600929">
      <w:bodyDiv w:val="1"/>
      <w:marLeft w:val="0"/>
      <w:marRight w:val="0"/>
      <w:marTop w:val="0"/>
      <w:marBottom w:val="0"/>
      <w:divBdr>
        <w:top w:val="none" w:sz="0" w:space="0" w:color="auto"/>
        <w:left w:val="none" w:sz="0" w:space="0" w:color="auto"/>
        <w:bottom w:val="none" w:sz="0" w:space="0" w:color="auto"/>
        <w:right w:val="none" w:sz="0" w:space="0" w:color="auto"/>
      </w:divBdr>
    </w:div>
    <w:div w:id="208391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669A44E-DFCB-49E1-BACE-9EBB8725A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5276</Words>
  <Characters>32398</Characters>
  <Application>Microsoft Office Word</Application>
  <DocSecurity>0</DocSecurity>
  <Lines>599</Lines>
  <Paragraphs>136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RICARDO BATISTA RODRIGUES</dc:creator>
  <cp:lastModifiedBy>JOSE CARLOS DE FREITAS</cp:lastModifiedBy>
  <cp:revision>8</cp:revision>
  <cp:lastPrinted>2018-04-22T22:15:00Z</cp:lastPrinted>
  <dcterms:created xsi:type="dcterms:W3CDTF">2026-03-17T16:26:00Z</dcterms:created>
  <dcterms:modified xsi:type="dcterms:W3CDTF">2026-03-17T16:38:00Z</dcterms:modified>
</cp:coreProperties>
</file>